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Draft Leave Accommodation Memo</w:t>
      </w:r>
    </w:p>
    <w:p>
      <w:r>
        <w:t>Manual TOC placeholder.</w:t>
      </w:r>
    </w:p>
    <w:p>
      <w:pPr>
        <w:pStyle w:val="Heading1"/>
      </w:pPr>
      <w:r>
        <w:t>Manager Note - Unsafe Draft</w:t>
      </w:r>
    </w:p>
    <w:p>
      <w:r>
        <w:t>Tell the manager the employee has migraine with aura and takes topiramate so scheduling frustration is understood.</w:t>
      </w:r>
    </w:p>
    <w:p>
      <w:pPr>
        <w:pStyle w:val="Heading1"/>
      </w:pPr>
      <w:r>
        <w:t>Draft Decision</w:t>
      </w:r>
    </w:p>
    <w:p>
      <w:r>
        <w:t>Deny remote work and discipline anyway if absences continue during the team launch week.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Contains confidential medical and legal notes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Draft HR case memo - do not send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7365D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17365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7365D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