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Leave and Accommodation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Employee Statement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Mira Patel, Customer Operations Lead</w:t>
            </w:r>
          </w:p>
        </w:tc>
      </w:tr>
      <w:tr>
        <w:tc>
          <w:tcPr>
            <w:tcW w:type="dxa" w:w="4320"/>
          </w:tcPr>
          <w:p>
            <w:r>
              <w:t>Request date</w:t>
            </w:r>
          </w:p>
        </w:tc>
        <w:tc>
          <w:tcPr>
            <w:tcW w:type="dxa" w:w="4320"/>
          </w:tcPr>
          <w:p>
            <w:r>
              <w:t>2026-06-19</w:t>
            </w:r>
          </w:p>
        </w:tc>
      </w:tr>
      <w:tr>
        <w:tc>
          <w:tcPr>
            <w:tcW w:type="dxa" w:w="4320"/>
          </w:tcPr>
          <w:p>
            <w:r>
              <w:t>Requested changes</w:t>
            </w:r>
          </w:p>
        </w:tc>
        <w:tc>
          <w:tcPr>
            <w:tcW w:type="dxa" w:w="4320"/>
          </w:tcPr>
          <w:p>
            <w:r>
              <w:t>Intermittent leave, later start time on treatment days, two remote days, glare reduction.</w:t>
            </w:r>
          </w:p>
        </w:tc>
      </w:tr>
      <w:tr>
        <w:tc>
          <w:tcPr>
            <w:tcW w:type="dxa" w:w="4320"/>
          </w:tcPr>
          <w:p>
            <w:r>
              <w:t>Private statement</w:t>
            </w:r>
          </w:p>
        </w:tc>
        <w:tc>
          <w:tcPr>
            <w:tcW w:type="dxa" w:w="4320"/>
          </w:tcPr>
          <w:p>
            <w:r>
              <w:t>Migraine with aura symptoms fluctuate; provider will send certification.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