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Manager Notes and Coverage Concerns</w:t>
      </w:r>
    </w:p>
    <w:p>
      <w:r>
        <w:t>Launch week coverage is tight. Backup escalation coverage can work if HR confirms attendance coding.</w:t>
      </w:r>
    </w:p>
    <w:p>
      <w:r>
        <w:t>Manager should not receive provider names, treatment notes, diagnosis, medication, or legal strategy.</w:t>
      </w:r>
    </w:p>
    <w:p>
      <w:r>
        <w:t>Customer escalation duty is essential, but backup coverage during approved absence blocks is workable.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