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W-9 Packets</w:t>
      </w:r>
    </w:p>
    <w:p>
      <w:pPr>
        <w:pStyle w:val="Heading1"/>
      </w:pPr>
      <w:r>
        <w:t>Orion Creative LLC</w:t>
      </w:r>
    </w:p>
    <w:p>
      <w:r>
        <w:t>Corrected Form W-9 received 2026-06-24. Legal name: Orion Creative LLC. EIN: 88-4519021.</w:t>
      </w:r>
    </w:p>
    <w:p>
      <w:pPr>
        <w:pStyle w:val="Heading1"/>
      </w:pPr>
      <w:r>
        <w:t>Brightline Legal PLLC</w:t>
      </w:r>
    </w:p>
    <w:p>
      <w:r>
        <w:t>Corrected Form W-9 received 2026-06-25. Legal name: Brightline Legal PLLC. EIN: 27-6401180.</w:t>
      </w:r>
    </w:p>
    <w:p>
      <w:pPr>
        <w:pStyle w:val="Heading1"/>
      </w:pPr>
      <w:r>
        <w:t>Mesa Field Services</w:t>
      </w:r>
    </w:p>
    <w:p>
      <w:r>
        <w:t>No valid Form W-9 received by 2026-07-12.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risk notes excluded from vendor communications.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AP TAX COMPLIANCE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