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B-Notice Workspace</w:t>
      </w:r>
    </w:p>
    <w:p>
      <w:pPr>
        <w:pStyle w:val="Heading1"/>
      </w:pPr>
      <w:r>
        <w:t>Goal</w:t>
      </w:r>
    </w:p>
    <w:p>
      <w:r>
        <w:t>Create a vendor B-notice action memo and backup withholding tracker.</w:t>
      </w:r>
    </w:p>
    <w:p>
      <w:pPr>
        <w:pStyle w:val="Heading1"/>
      </w:pPr>
      <w:r>
        <w:t>Rules</w:t>
      </w:r>
    </w:p>
    <w:p>
      <w:r>
        <w:t>Use IRS notice data, corrected W-9 packets, vendor master, payment ledger, and AP policy. Keep internal vendor-risk commentary out of public outputs.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risk notes excluded from vendor communications.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AP TAX COMPLIANCE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