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Level Amendment No. 3 - Current Draft</w:t>
      </w:r>
    </w:p>
    <w:p>
      <w:pPr>
        <w:pStyle w:val="Heading1"/>
      </w:pPr>
      <w:r>
        <w:t>Parties</w:t>
      </w:r>
    </w:p>
    <w:p>
      <w:r>
        <w:t>Cloud Harbor Systems, Inc. and Northwind Health Plan. Effective date placeholder: TBD.</w:t>
      </w:r>
    </w:p>
    <w:p>
      <w:pPr>
        <w:pStyle w:val="Heading1"/>
      </w:pPr>
      <w:r>
        <w:t>Support</w:t>
      </w:r>
    </w:p>
    <w:p>
      <w:r>
        <w:t>Priority 1 response time: four business hours. Priority 2 response time: one business day.</w:t>
      </w:r>
    </w:p>
    <w:p>
      <w:pPr>
        <w:pStyle w:val="Heading1"/>
      </w:pPr>
      <w:r>
        <w:t>Security Evidence</w:t>
      </w:r>
    </w:p>
    <w:p>
      <w:r>
        <w:t>Supplier will provide a quarterly security evidence package.</w:t>
      </w:r>
    </w:p>
    <w:p>
      <w:pPr>
        <w:pStyle w:val="Heading1"/>
      </w:pPr>
      <w:r>
        <w:t>Credits</w:t>
      </w:r>
    </w:p>
    <w:p>
      <w:r>
        <w:t>Service credit is 3% of monthly SaaS fees for any Priority 1 breach; aggregate monthly service credits are capped at 12%.</w:t>
      </w:r>
    </w:p>
    <w:p>
      <w:pPr>
        <w:pStyle w:val="Heading1"/>
      </w:pPr>
      <w:r>
        <w:t>Excluded Requests</w:t>
      </w:r>
    </w:p>
    <w:p>
      <w:r>
        <w:t>Ad hoc data exports are included in SLA credit calculations.</w:t>
      </w:r>
    </w:p>
    <w:p>
      <w:pPr>
        <w:pStyle w:val="Heading1"/>
      </w:pPr>
      <w:r>
        <w:t>Notices</w:t>
      </w:r>
    </w:p>
    <w:p>
      <w:r>
        <w:t>Customer notice mailbox: contracts@northwind.example.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Private negotiation fallback excluded.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CONTRACT REDLINE WORKPAPER - CLIENT VERSION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