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Fallback Positions - Do Not Share</w:t>
      </w:r>
    </w:p>
    <w:p>
      <w:pPr>
        <w:pStyle w:val="Heading1"/>
      </w:pPr>
      <w:r>
        <w:t>Fallback</w:t>
      </w:r>
    </w:p>
    <w:p>
      <w:r>
        <w:t>Accept 4 hours if pushed. Do not mention budget cap. Use old credit language if customer misses it. Walk back evidence package if security objects. Private fallback and legal strategy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Private negotiation fallback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CONTRACT REDLINE WORKPAPER - CLIENT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