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Precedent Clause Library</w:t>
      </w:r>
    </w:p>
    <w:p>
      <w:pPr>
        <w:pStyle w:val="Heading1"/>
      </w:pPr>
      <w:r>
        <w:t>SLA Exclusions</w:t>
      </w:r>
    </w:p>
    <w:p>
      <w:r>
        <w:t>Custom data extract requests are excluded from SLA credit calculations when the extract is not part of the standard hosted service.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Private negotiation fallback excluded.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CONTRACT REDLINE WORKPAPER - CLIENT VERSION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