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Hybrid Clinic Follow-up Study</w:t>
      </w:r>
    </w:p>
    <w:p>
      <w:pPr>
        <w:pStyle w:val="Heading1"/>
      </w:pPr>
      <w:r>
        <w:t>Abstract</w:t>
      </w:r>
    </w:p>
    <w:p>
      <w:r>
        <w:t>Hybrid clinic follow-up improved completion after a scheduling redesign.</w:t>
      </w:r>
    </w:p>
    <w:p>
      <w:pPr>
        <w:pStyle w:val="Heading1"/>
      </w:pPr>
      <w:r>
        <w:t>Introduction</w:t>
      </w:r>
    </w:p>
    <w:p>
      <w:r>
        <w:t>Prior studies show telehealth follow-up can preserve visit completion in chronic care (Nguyen, 2022). Missed-visit risk is associated with travel burden and scheduling friction (Romero et al., 2021).</w:t>
      </w:r>
    </w:p>
    <w:p>
      <w:pPr>
        <w:pStyle w:val="Heading1"/>
      </w:pPr>
      <w:r>
        <w:t>Methods</w:t>
      </w:r>
    </w:p>
    <w:p>
      <w:r>
        <w:t>We followed the reporting checklist for observational health services studies (Turner and Singh, 2020). The final cohort included 486 visits after excluding 22 test encounters.</w:t>
      </w:r>
    </w:p>
    <w:p>
      <w:pPr>
        <w:pStyle w:val="Heading1"/>
      </w:pPr>
      <w:r>
        <w:t>Results</w:t>
      </w:r>
    </w:p>
    <w:p>
      <w:r>
        <w:t>Visit completion improved from 78.4% to 86.9% after hybrid scheduling (Li &amp; Gomez, 2023). Figure 3 shows the revised cohort flow. Table 2 reports visit completion by modality.</w:t>
      </w:r>
    </w:p>
    <w:p>
      <w:pPr>
        <w:pStyle w:val="Heading1"/>
      </w:pPr>
      <w:r>
        <w:t>Discussion</w:t>
      </w:r>
    </w:p>
    <w:p>
      <w:r>
        <w:t>Patient-reported convenience improved without a measurable increase in urgent callbacks (Osei, 2022); see Supplementary Figure S1 for primary results.</w:t>
      </w:r>
    </w:p>
    <w:p>
      <w:pPr>
        <w:pStyle w:val="Heading1"/>
      </w:pPr>
      <w:r>
        <w:t>Private Notes</w:t>
      </w:r>
    </w:p>
    <w:p>
      <w:r>
        <w:t>internal author note: do not mention reviewer 2; the sample is weaker than planned.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MANUSCRIPT CLEANUP WORKSPACE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