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and Table Inventory</w:t>
      </w:r>
    </w:p>
    <w:p>
      <w:pPr>
        <w:pStyle w:val="Heading1"/>
      </w:pPr>
      <w:r>
        <w:t>Keep</w:t>
      </w:r>
    </w:p>
    <w:p>
      <w:r>
        <w:t>Cohort flow becomes Figure 1. Visit completion by modality becomes Table 1.</w:t>
      </w:r>
    </w:p>
    <w:p>
      <w:pPr>
        <w:pStyle w:val="Heading1"/>
      </w:pPr>
      <w:r>
        <w:t>Remove</w:t>
      </w:r>
    </w:p>
    <w:p>
      <w:r>
        <w:t>Two earlier draft figures and Supplementary Figure S1 main-text callout are removed.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MANUSCRIPT CLEANUP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