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Governance Committee Minutes</w:t>
      </w:r>
    </w:p>
    <w:p>
      <w:r>
        <w:t>Manual TOC placeholder - replace with a real TOC field.</w:t>
      </w:r>
    </w:p>
    <w:p>
      <w:pPr>
        <w:pStyle w:val="Heading1"/>
      </w:pPr>
      <w:r>
        <w:t>Draft Notes - Remove</w:t>
      </w:r>
    </w:p>
    <w:p>
      <w:r>
        <w:t>Internal scratch: reserve draw still listed as pending; vendor escalation listed as approved.</w:t>
      </w:r>
    </w:p>
    <w:p>
      <w:pPr>
        <w:pStyle w:val="Heading1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Alex Rivera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Chair</w:t>
            </w:r>
          </w:p>
        </w:tc>
      </w:tr>
      <w:tr>
        <w:tc>
          <w:tcPr>
            <w:tcW w:type="dxa" w:w="2880"/>
          </w:tcPr>
          <w:p>
            <w:r>
              <w:t>Mina Zhou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Treasurer</w:t>
            </w:r>
          </w:p>
        </w:tc>
      </w:tr>
      <w:tr>
        <w:tc>
          <w:tcPr>
            <w:tcW w:type="dxa" w:w="2880"/>
          </w:tcPr>
          <w:p>
            <w:r>
              <w:t>Owen Hart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Director</w:t>
            </w:r>
          </w:p>
        </w:tc>
      </w:tr>
      <w:tr>
        <w:tc>
          <w:tcPr>
            <w:tcW w:type="dxa" w:w="2880"/>
          </w:tcPr>
          <w:p>
            <w:r>
              <w:t>Priya Shah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Counsel</w:t>
            </w:r>
          </w:p>
        </w:tc>
      </w:tr>
    </w:tbl>
    <w:p>
      <w:pPr>
        <w:pStyle w:val="Heading1"/>
      </w:pPr>
      <w:r>
        <w:t>Motions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Motion ID</w:t>
            </w:r>
          </w:p>
        </w:tc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Vote</w:t>
            </w:r>
          </w:p>
        </w:tc>
      </w:tr>
      <w:tr>
        <w:tc>
          <w:tcPr>
            <w:tcW w:type="dxa" w:w="2160"/>
          </w:tcPr>
          <w:p>
            <w:r>
              <w:t>M-17</w:t>
            </w:r>
          </w:p>
        </w:tc>
        <w:tc>
          <w:tcPr>
            <w:tcW w:type="dxa" w:w="2160"/>
          </w:tcPr>
          <w:p>
            <w:r>
              <w:t>Approve cyber reserve draw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M-18</w:t>
            </w:r>
          </w:p>
        </w:tc>
        <w:tc>
          <w:tcPr>
            <w:tcW w:type="dxa" w:w="2160"/>
          </w:tcPr>
          <w:p>
            <w:r>
              <w:t>Approve vendor escalation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Action ID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Source Motion</w:t>
            </w:r>
          </w:p>
        </w:tc>
      </w:tr>
      <w:tr>
        <w:tc>
          <w:tcPr>
            <w:tcW w:type="dxa" w:w="1440"/>
          </w:tcPr>
          <w:p>
            <w:r>
              <w:t>A-17</w:t>
            </w:r>
          </w:p>
        </w:tc>
        <w:tc>
          <w:tcPr>
            <w:tcW w:type="dxa" w:w="1440"/>
          </w:tcPr>
          <w:p>
            <w:r>
              <w:t>Draft reserve memo</w:t>
            </w:r>
          </w:p>
        </w:tc>
        <w:tc>
          <w:tcPr>
            <w:tcW w:type="dxa" w:w="1440"/>
          </w:tcPr>
          <w:p>
            <w:r>
              <w:t>M. Zhou</w:t>
            </w:r>
          </w:p>
        </w:tc>
        <w:tc>
          <w:tcPr>
            <w:tcW w:type="dxa" w:w="1440"/>
          </w:tcPr>
          <w:p>
            <w:r>
              <w:t>2026-08-01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M-17</w:t>
            </w:r>
          </w:p>
        </w:tc>
      </w:tr>
      <w:tr>
        <w:tc>
          <w:tcPr>
            <w:tcW w:type="dxa" w:w="1440"/>
          </w:tcPr>
          <w:p>
            <w:r>
              <w:t>A-18</w:t>
            </w:r>
          </w:p>
        </w:tc>
        <w:tc>
          <w:tcPr>
            <w:tcW w:type="dxa" w:w="1440"/>
          </w:tcPr>
          <w:p>
            <w:r>
              <w:t>Vendor escalation</w:t>
            </w:r>
          </w:p>
        </w:tc>
        <w:tc>
          <w:tcPr>
            <w:tcW w:type="dxa" w:w="1440"/>
          </w:tcPr>
          <w:p>
            <w:r>
              <w:t>P. Shah</w:t>
            </w:r>
          </w:p>
        </w:tc>
        <w:tc>
          <w:tcPr>
            <w:tcW w:type="dxa" w:w="1440"/>
          </w:tcPr>
          <w:p>
            <w:r>
              <w:t>2026-08-03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M-18</w:t>
            </w:r>
          </w:p>
        </w:tc>
      </w:tr>
    </w:tbl>
    <w:p>
      <w:pPr>
        <w:pStyle w:val="Heading1"/>
      </w:pPr>
      <w:r>
        <w:t>Appendix A - Posting Package</w:t>
      </w:r>
    </w:p>
    <w:p>
      <w:r>
        <w:t>Appendix placeholder. Replace with posting package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Minutes packet status: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Board Governance Committee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