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Draft: Board Memo</w:t>
      </w:r>
    </w:p>
    <w:p>
      <w:pPr>
        <w:jc w:val="center"/>
      </w:pPr>
      <w:r>
        <w:t>TOC placeholder - update fields</w:t>
      </w:r>
    </w:p>
    <w:p>
      <w:pPr>
        <w:sectPr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ageBreakBefore/>
      </w:pPr>
      <w:r>
        <w:t>Appendix A - Metrics</w:t>
      </w:r>
    </w:p>
    <w:p>
      <w:r>
        <w:t>Draft: Open items: 3</w:t>
      </w:r>
    </w:p>
    <w:p>
      <w:r>
        <w:t>Draft: Closed items: 12</w:t>
      </w:r>
    </w:p>
    <w:p>
      <w:pPr>
        <w:pStyle w:val="Heading1"/>
      </w:pPr>
      <w:r>
        <w:t>Executive Summary</w:t>
      </w:r>
    </w:p>
    <w:p>
      <w:r>
        <w:t>Draft: This memo is ready for board circulation.</w:t>
      </w:r>
    </w:p>
    <w:p>
      <w:r>
        <w:t>Draft: The release package is fully prepared.</w:t>
      </w:r>
    </w:p>
    <w:p>
      <w:pPr>
        <w:pStyle w:val="Heading1"/>
      </w:pPr>
      <w:r>
        <w:t>Program Snapshot</w:t>
      </w:r>
    </w:p>
    <w:p>
      <w:r>
        <w:t>Draft: All core milestones are on track.</w:t>
      </w:r>
    </w:p>
    <w:p>
      <w:r>
        <w:t>Draft: No open blockers remain for publication.</w:t>
      </w:r>
    </w:p>
    <w:p>
      <w:pPr>
        <w:pStyle w:val="Heading1"/>
      </w:pPr>
      <w:r>
        <w:t>Board Actions</w:t>
      </w:r>
    </w:p>
    <w:p>
      <w:r>
        <w:t>Draft: Approve the release plan at the next meeting.</w:t>
      </w:r>
    </w:p>
    <w:p>
      <w:r>
        <w:t>Draft: Confirm the publication date.</w:t>
      </w:r>
    </w:p>
    <w:p>
      <w:pPr>
        <w:pStyle w:val="Heading1"/>
        <w:pageBreakBefore/>
      </w:pPr>
      <w:r>
        <w:t>Obsolete Draft Notes</w:t>
      </w:r>
    </w:p>
    <w:p>
      <w:r>
        <w:t>Draft: Remove this scratch section before publication.</w:t>
      </w:r>
    </w:p>
    <w:p>
      <w:r>
        <w:t>Draft: Internal reviewer notes must not remain in the released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Action</w:t>
            </w:r>
          </w:p>
        </w:tc>
        <w:tc>
          <w:tcPr>
            <w:tcW w:type="dxa" w:w="3010"/>
          </w:tcPr>
          <w:p>
            <w:r>
              <w:t>Owner</w:t>
            </w:r>
          </w:p>
        </w:tc>
        <w:tc>
          <w:tcPr>
            <w:tcW w:type="dxa" w:w="3010"/>
          </w:tcPr>
          <w:p>
            <w:r>
              <w:t>Status</w:t>
            </w:r>
          </w:p>
        </w:tc>
      </w:tr>
      <w:tr>
        <w:tc>
          <w:tcPr>
            <w:tcW w:type="dxa" w:w="3010"/>
          </w:tcPr>
          <w:p>
            <w:r>
              <w:t>Draft: Approve release plan</w:t>
            </w:r>
          </w:p>
        </w:tc>
        <w:tc>
          <w:tcPr>
            <w:tcW w:type="dxa" w:w="3010"/>
          </w:tcPr>
          <w:p>
            <w:r>
              <w:t>Draft: Board</w:t>
            </w:r>
          </w:p>
        </w:tc>
        <w:tc>
          <w:tcPr>
            <w:tcW w:type="dxa" w:w="3010"/>
          </w:tcPr>
          <w:p>
            <w:r>
              <w:t>Draft: Pending</w:t>
            </w:r>
          </w:p>
        </w:tc>
      </w:tr>
      <w:tr>
        <w:tc>
          <w:tcPr>
            <w:tcW w:type="dxa" w:w="3010"/>
          </w:tcPr>
          <w:p>
            <w:r>
              <w:t>Draft: Confirm publication date</w:t>
            </w:r>
          </w:p>
        </w:tc>
        <w:tc>
          <w:tcPr>
            <w:tcW w:type="dxa" w:w="3010"/>
          </w:tcPr>
          <w:p>
            <w:r>
              <w:t>Draft: PMO</w:t>
            </w:r>
          </w:p>
        </w:tc>
        <w:tc>
          <w:tcPr>
            <w:tcW w:type="dxa" w:w="3010"/>
          </w:tcPr>
          <w:p>
            <w:r>
              <w:t>Draft: Draft</w:t>
            </w:r>
          </w:p>
        </w:tc>
      </w:tr>
    </w:tbl>
    <w:p>
      <w:r>
        <w:rPr>
          <w:rFonts w:ascii="Calibri" w:hAnsi="Calibri"/>
          <w:sz w:val="22"/>
        </w:rPr>
        <w:t>Reference body style anchor.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Board Memo | 2026-05-09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