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Draft: Policy Manual</w:t>
      </w:r>
    </w:p>
    <w:p>
      <w:pPr>
        <w:jc w:val="center"/>
      </w:pPr>
      <w:r>
        <w:t>TOC placeholder - update fields</w:t>
      </w:r>
    </w:p>
    <w:p>
      <w:pPr>
        <w:sectPr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ageBreakBefore/>
      </w:pPr>
      <w:r>
        <w:t>Appendix A - Forms</w:t>
      </w:r>
    </w:p>
    <w:p>
      <w:r>
        <w:t>Draft: Form A-1 is the required incident log.</w:t>
      </w:r>
    </w:p>
    <w:p>
      <w:r>
        <w:t>Draft: Form A-2 covers supervisor review.</w:t>
      </w:r>
    </w:p>
    <w:p>
      <w:pPr>
        <w:pStyle w:val="Heading1"/>
      </w:pPr>
      <w:r>
        <w:t>Policy Scope</w:t>
      </w:r>
    </w:p>
    <w:p>
      <w:r>
        <w:t>Draft: This manual applies to all field staff.</w:t>
      </w:r>
    </w:p>
    <w:p>
      <w:r>
        <w:t>Draft: Use it together with the checklist.</w:t>
      </w:r>
    </w:p>
    <w:p>
      <w:pPr>
        <w:pStyle w:val="Heading1"/>
      </w:pPr>
      <w:r>
        <w:t>Safety Procedures</w:t>
      </w:r>
    </w:p>
    <w:p>
      <w:r>
        <w:t>Draft: Use the checklist before each site visit.</w:t>
      </w:r>
    </w:p>
    <w:p>
      <w:r>
        <w:t>Draft: Escalate unresolved issues within one business day.</w:t>
      </w:r>
    </w:p>
    <w:p>
      <w:pPr>
        <w:pStyle w:val="Heading1"/>
      </w:pPr>
      <w:r>
        <w:t>Incident Reporting</w:t>
      </w:r>
    </w:p>
    <w:p>
      <w:r>
        <w:t>Draft: File the report within 24 hours.</w:t>
      </w:r>
    </w:p>
    <w:p>
      <w:r>
        <w:t>Draft: Attach supporting photos when available.</w:t>
      </w:r>
    </w:p>
    <w:p>
      <w:pPr>
        <w:pStyle w:val="Heading1"/>
        <w:pageBreakBefore/>
      </w:pPr>
      <w:r>
        <w:t>Obsolete Draft Notes</w:t>
      </w:r>
    </w:p>
    <w:p>
      <w:r>
        <w:t>Draft: Remove this scratch section before publication.</w:t>
      </w:r>
    </w:p>
    <w:p>
      <w:r>
        <w:t>Draft: Internal reviewer notes must not remain in the released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Reference</w:t>
            </w:r>
          </w:p>
        </w:tc>
        <w:tc>
          <w:tcPr>
            <w:tcW w:type="dxa" w:w="4514"/>
          </w:tcPr>
          <w:p>
            <w:r>
              <w:t>Purpose</w:t>
            </w:r>
          </w:p>
        </w:tc>
      </w:tr>
      <w:tr>
        <w:tc>
          <w:tcPr>
            <w:tcW w:type="dxa" w:w="4514"/>
          </w:tcPr>
          <w:p>
            <w:r>
              <w:t>Draft: A-1</w:t>
            </w:r>
          </w:p>
        </w:tc>
        <w:tc>
          <w:tcPr>
            <w:tcW w:type="dxa" w:w="4514"/>
          </w:tcPr>
          <w:p>
            <w:r>
              <w:t>Draft: Incident log</w:t>
            </w:r>
          </w:p>
        </w:tc>
      </w:tr>
      <w:tr>
        <w:tc>
          <w:tcPr>
            <w:tcW w:type="dxa" w:w="4514"/>
          </w:tcPr>
          <w:p>
            <w:r>
              <w:t>Draft: A-2</w:t>
            </w:r>
          </w:p>
        </w:tc>
        <w:tc>
          <w:tcPr>
            <w:tcW w:type="dxa" w:w="4514"/>
          </w:tcPr>
          <w:p>
            <w:r>
              <w:t>Draft: Supervisor review</w:t>
            </w:r>
          </w:p>
        </w:tc>
      </w:tr>
    </w:tbl>
    <w:p>
      <w:r>
        <w:rPr>
          <w:rFonts w:ascii="Calibri" w:hAnsi="Calibri"/>
          <w:sz w:val="22"/>
        </w:rPr>
        <w:t>Reference body style anchor.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Policy Manual | 2026-05-09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