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Draft: Bilingual Report</w:t>
      </w:r>
    </w:p>
    <w:p>
      <w:pPr>
        <w:jc w:val="center"/>
      </w:pPr>
      <w:r>
        <w:t>TOC placeholder - update fields</w:t>
      </w:r>
    </w:p>
    <w:p>
      <w:pPr>
        <w:pStyle w:val="Heading1"/>
      </w:pPr>
      <w:r>
        <w:t>Conclusion</w:t>
      </w:r>
    </w:p>
    <w:p>
      <w:r>
        <w:t>Draft: The report is ready for distribution.</w:t>
      </w:r>
    </w:p>
    <w:p>
      <w:pPr>
        <w:pStyle w:val="Heading1"/>
      </w:pPr>
      <w:r>
        <w:t>Abstract</w:t>
      </w:r>
    </w:p>
    <w:p>
      <w:r>
        <w:t>Draft: This report summarizes the publication workflow.</w:t>
      </w:r>
    </w:p>
    <w:p>
      <w:r>
        <w:t>Draft: This report also demonstrates mixed-language body handling.</w:t>
      </w:r>
    </w:p>
    <w:p>
      <w:pPr>
        <w:pStyle w:val="Heading1"/>
      </w:pPr>
      <w:r>
        <w:t>Key Findings</w:t>
      </w:r>
    </w:p>
    <w:p>
      <w:r>
        <w:t>Draft: English and Chinese body styles now match.</w:t>
      </w:r>
    </w:p>
    <w:p>
      <w:r>
        <w:t>Draft: Table labels remain consistent.</w:t>
      </w:r>
    </w:p>
    <w:p>
      <w:pPr>
        <w:pStyle w:val="Heading1"/>
      </w:pPr>
      <w:r>
        <w:t>Tables &amp; Data</w:t>
      </w:r>
    </w:p>
    <w:p>
      <w:r>
        <w:t>Draft: The table below summarizes the workload.</w:t>
      </w:r>
    </w:p>
    <w:p>
      <w:pPr>
        <w:pStyle w:val="Heading1"/>
        <w:pageBreakBefore/>
      </w:pPr>
      <w:r>
        <w:t>Obsolete Draft Notes</w:t>
      </w:r>
    </w:p>
    <w:p>
      <w:r>
        <w:t>Draft: Remove this scratch section before publication.</w:t>
      </w:r>
    </w:p>
    <w:p>
      <w:r>
        <w:t>Draft: Internal reviewer notes must not remain in the released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Metric</w:t>
            </w:r>
          </w:p>
        </w:tc>
        <w:tc>
          <w:tcPr>
            <w:tcW w:type="dxa" w:w="4514"/>
          </w:tcPr>
          <w:p>
            <w:r>
              <w:t>Value</w:t>
            </w:r>
          </w:p>
        </w:tc>
      </w:tr>
      <w:tr>
        <w:tc>
          <w:tcPr>
            <w:tcW w:type="dxa" w:w="4514"/>
          </w:tcPr>
          <w:p>
            <w:r>
              <w:t>Draft: Drafts</w:t>
            </w:r>
          </w:p>
        </w:tc>
        <w:tc>
          <w:tcPr>
            <w:tcW w:type="dxa" w:w="4514"/>
          </w:tcPr>
          <w:p>
            <w:r>
              <w:t>4</w:t>
            </w:r>
          </w:p>
        </w:tc>
      </w:tr>
      <w:tr>
        <w:tc>
          <w:tcPr>
            <w:tcW w:type="dxa" w:w="4514"/>
          </w:tcPr>
          <w:p>
            <w:r>
              <w:t>Draft: Finals</w:t>
            </w:r>
          </w:p>
        </w:tc>
        <w:tc>
          <w:tcPr>
            <w:tcW w:type="dxa" w:w="4514"/>
          </w:tcPr>
          <w:p>
            <w:r>
              <w:t>2</w:t>
            </w:r>
          </w:p>
        </w:tc>
      </w:tr>
    </w:tbl>
    <w:p>
      <w:r>
        <w:rPr>
          <w:rFonts w:ascii="Calibri" w:hAnsi="Calibri"/>
          <w:sz w:val="22"/>
        </w:rPr>
        <w:t>Reference body style anchor.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Bilingual Report | 2026-05-09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