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Draft: Contract Schedule</w:t>
      </w:r>
    </w:p>
    <w:p>
      <w:pPr>
        <w:jc w:val="center"/>
      </w:pPr>
      <w:r>
        <w:t>TOC placeholder - update fields</w:t>
      </w:r>
    </w:p>
    <w:p>
      <w:pPr>
        <w:sectPr>
          <w:headerReference w:type="default" r:id="rId9"/>
          <w:footerReference w:type="default" r:id="rId10"/>
          <w:pgSz w:w="11909" w:h="16834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pageBreakBefore/>
      </w:pPr>
      <w:r>
        <w:t>Appendix</w:t>
      </w:r>
    </w:p>
    <w:p>
      <w:r>
        <w:t>Draft: Appendix includes the updated signoff list.</w:t>
      </w:r>
    </w:p>
    <w:p>
      <w:pPr>
        <w:pStyle w:val="Heading1"/>
      </w:pPr>
      <w:r>
        <w:t>Contract Overview</w:t>
      </w:r>
    </w:p>
    <w:p>
      <w:r>
        <w:t>Draft: This draft consolidates the schedule and clause structure.</w:t>
      </w:r>
    </w:p>
    <w:p>
      <w:pPr>
        <w:pStyle w:val="Heading1"/>
      </w:pPr>
      <w:r>
        <w:t>Clause Hierarchy</w:t>
      </w:r>
    </w:p>
    <w:p>
      <w:r>
        <w:t>Draft: Section 1 remains governing.</w:t>
      </w:r>
    </w:p>
    <w:p>
      <w:r>
        <w:t>Draft: Subsections now appear in logical order.</w:t>
      </w:r>
    </w:p>
    <w:p>
      <w:pPr>
        <w:pStyle w:val="Heading1"/>
      </w:pPr>
      <w:r>
        <w:t>Schedule</w:t>
      </w:r>
    </w:p>
    <w:p>
      <w:r>
        <w:t>Draft: Milestone A is due on 2026-06-14.</w:t>
      </w:r>
    </w:p>
    <w:p>
      <w:r>
        <w:t>Draft: Milestone B is due on 2026-06-21.</w:t>
      </w:r>
    </w:p>
    <w:p>
      <w:pPr>
        <w:pStyle w:val="Heading1"/>
      </w:pPr>
      <w:r>
        <w:t>Conflict Note</w:t>
      </w:r>
    </w:p>
    <w:p>
      <w:r>
        <w:t>Draft: The schedule note resolves the timing conflict between teams.</w:t>
      </w:r>
    </w:p>
    <w:p>
      <w:pPr>
        <w:pStyle w:val="Heading1"/>
        <w:pageBreakBefore/>
      </w:pPr>
      <w:r>
        <w:t>Obsolete Draft Notes</w:t>
      </w:r>
    </w:p>
    <w:p>
      <w:r>
        <w:t>Draft: Remove this scratch section before publication.</w:t>
      </w:r>
    </w:p>
    <w:p>
      <w:r>
        <w:t>Draft: Internal reviewer notes must not remain in the released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t>Milestone</w:t>
            </w:r>
          </w:p>
        </w:tc>
        <w:tc>
          <w:tcPr>
            <w:tcW w:type="dxa" w:w="3010"/>
          </w:tcPr>
          <w:p>
            <w:r>
              <w:t>Owner</w:t>
            </w:r>
          </w:p>
        </w:tc>
        <w:tc>
          <w:tcPr>
            <w:tcW w:type="dxa" w:w="3010"/>
          </w:tcPr>
          <w:p>
            <w:r>
              <w:t>Status</w:t>
            </w:r>
          </w:p>
        </w:tc>
      </w:tr>
      <w:tr>
        <w:tc>
          <w:tcPr>
            <w:tcW w:type="dxa" w:w="3010"/>
          </w:tcPr>
          <w:p>
            <w:r>
              <w:t>Draft: Milestone A</w:t>
            </w:r>
          </w:p>
        </w:tc>
        <w:tc>
          <w:tcPr>
            <w:tcW w:type="dxa" w:w="3010"/>
          </w:tcPr>
          <w:p>
            <w:r>
              <w:t>Draft: Ops</w:t>
            </w:r>
          </w:p>
        </w:tc>
        <w:tc>
          <w:tcPr>
            <w:tcW w:type="dxa" w:w="3010"/>
          </w:tcPr>
          <w:p>
            <w:r>
              <w:t>Draft: On track</w:t>
            </w:r>
          </w:p>
        </w:tc>
      </w:tr>
      <w:tr>
        <w:tc>
          <w:tcPr>
            <w:tcW w:type="dxa" w:w="3010"/>
          </w:tcPr>
          <w:p>
            <w:r>
              <w:t>Draft: Milestone B</w:t>
            </w:r>
          </w:p>
        </w:tc>
        <w:tc>
          <w:tcPr>
            <w:tcW w:type="dxa" w:w="3010"/>
          </w:tcPr>
          <w:p>
            <w:r>
              <w:t>Draft: Legal</w:t>
            </w:r>
          </w:p>
        </w:tc>
        <w:tc>
          <w:tcPr>
            <w:tcW w:type="dxa" w:w="3010"/>
          </w:tcPr>
          <w:p>
            <w:r>
              <w:t>Draft: Pending</w:t>
            </w:r>
          </w:p>
        </w:tc>
      </w:tr>
    </w:tbl>
    <w:p>
      <w:r>
        <w:rPr>
          <w:rFonts w:ascii="Calibri" w:hAnsi="Calibri"/>
          <w:sz w:val="22"/>
        </w:rPr>
        <w:t>Reference body style anchor.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Contract Schedule | 2026-05-09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