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Draft: Comprehensive Handbook</w:t>
      </w:r>
    </w:p>
    <w:p>
      <w:pPr>
        <w:jc w:val="center"/>
      </w:pPr>
      <w:r>
        <w:t>TOC placeholder - update fields</w:t>
      </w:r>
    </w:p>
    <w:p>
      <w:pPr>
        <w:sectPr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  <w:pageBreakBefore/>
      </w:pPr>
      <w:r>
        <w:t>Appendix A - Release Checklist</w:t>
      </w:r>
    </w:p>
    <w:p>
      <w:r>
        <w:t>Draft: Confirm the table of contents.</w:t>
      </w:r>
    </w:p>
    <w:p>
      <w:r>
        <w:t>Draft: Confirm the header and footer.</w:t>
      </w:r>
    </w:p>
    <w:p>
      <w:r>
        <w:t>Draft: Confirm bilingual text and tables.</w:t>
      </w:r>
    </w:p>
    <w:p>
      <w:pPr>
        <w:pStyle w:val="Heading1"/>
      </w:pPr>
      <w:r>
        <w:t>Introduction</w:t>
      </w:r>
    </w:p>
    <w:p>
      <w:r>
        <w:t>Draft: This handbook demonstrates the complete single-document publication workflow.</w:t>
      </w:r>
    </w:p>
    <w:p>
      <w:r>
        <w:t>Draft: It covers document structure, bilingual text, tables, navigation, and release formatting.</w:t>
      </w:r>
    </w:p>
    <w:p>
      <w:pPr>
        <w:pStyle w:val="Heading1"/>
      </w:pPr>
      <w:r>
        <w:t>Typography &amp; Styling</w:t>
      </w:r>
    </w:p>
    <w:p>
      <w:r>
        <w:t>Draft: Body paragraphs now share one publication style.</w:t>
      </w:r>
    </w:p>
    <w:p>
      <w:r>
        <w:t>Draft: Important examples use consistent emphasis without draft markers.</w:t>
      </w:r>
    </w:p>
    <w:p>
      <w:pPr>
        <w:pStyle w:val="Heading1"/>
      </w:pPr>
      <w:r>
        <w:t>Tables &amp; Data</w:t>
      </w:r>
    </w:p>
    <w:p>
      <w:r>
        <w:t>Draft: The table below summarizes final sales and feature coverage.</w:t>
      </w:r>
    </w:p>
    <w:p>
      <w:r>
        <w:t>Draft: All numeric totals and labels are publication ready.</w:t>
      </w:r>
    </w:p>
    <w:p>
      <w:pPr>
        <w:pStyle w:val="Heading1"/>
      </w:pPr>
      <w:r>
        <w:t>Multi-Language Content</w:t>
      </w:r>
    </w:p>
    <w:p>
      <w:r>
        <w:t>Draft: English and Chinese content remain readable in the same body style.</w:t>
      </w:r>
    </w:p>
    <w:p>
      <w:r>
        <w:t>Draft: 中文段落与英文段落在最终稿中保持一致的正文排版。</w:t>
      </w:r>
    </w:p>
    <w:p>
      <w:pPr>
        <w:pStyle w:val="Heading1"/>
      </w:pPr>
      <w:r>
        <w:t>Headers, Footers &amp; Page Numbers</w:t>
      </w:r>
    </w:p>
    <w:p>
      <w:r>
        <w:t>Draft: Every circulation page uses the handbook header and page footer.</w:t>
      </w:r>
    </w:p>
    <w:p>
      <w:r>
        <w:t>Draft: The appendix starts after a clear page break.</w:t>
      </w:r>
    </w:p>
    <w:p>
      <w:pPr>
        <w:pStyle w:val="Heading1"/>
      </w:pPr>
      <w:r>
        <w:t>Conclusion</w:t>
      </w:r>
    </w:p>
    <w:p>
      <w:r>
        <w:t>Draft: The comprehensive handbook is ready for distribution.</w:t>
      </w:r>
    </w:p>
    <w:p>
      <w:pPr>
        <w:pStyle w:val="Heading1"/>
        <w:pageBreakBefore/>
      </w:pPr>
      <w:r>
        <w:t>Obsolete Draft Notes</w:t>
      </w:r>
    </w:p>
    <w:p>
      <w:r>
        <w:t>Draft: Remove this scratch section before publication.</w:t>
      </w:r>
    </w:p>
    <w:p>
      <w:r>
        <w:t>Draft: Internal reviewer notes must not remain in the released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t>Item</w:t>
            </w:r>
          </w:p>
        </w:tc>
        <w:tc>
          <w:tcPr>
            <w:tcW w:type="dxa" w:w="2257"/>
          </w:tcPr>
          <w:p>
            <w:r>
              <w:t>Q1</w:t>
            </w:r>
          </w:p>
        </w:tc>
        <w:tc>
          <w:tcPr>
            <w:tcW w:type="dxa" w:w="2257"/>
          </w:tcPr>
          <w:p>
            <w:r>
              <w:t>Q2</w:t>
            </w:r>
          </w:p>
        </w:tc>
        <w:tc>
          <w:tcPr>
            <w:tcW w:type="dxa" w:w="2257"/>
          </w:tcPr>
          <w:p>
            <w:r>
              <w:t>Total</w:t>
            </w:r>
          </w:p>
        </w:tc>
      </w:tr>
      <w:tr>
        <w:tc>
          <w:tcPr>
            <w:tcW w:type="dxa" w:w="2257"/>
          </w:tcPr>
          <w:p>
            <w:r>
              <w:t>Draft: Product A</w:t>
            </w:r>
          </w:p>
        </w:tc>
        <w:tc>
          <w:tcPr>
            <w:tcW w:type="dxa" w:w="2257"/>
          </w:tcPr>
          <w:p>
            <w:r>
              <w:t>45000</w:t>
            </w:r>
          </w:p>
        </w:tc>
        <w:tc>
          <w:tcPr>
            <w:tcW w:type="dxa" w:w="2257"/>
          </w:tcPr>
          <w:p>
            <w:r>
              <w:t>52000</w:t>
            </w:r>
          </w:p>
        </w:tc>
        <w:tc>
          <w:tcPr>
            <w:tcW w:type="dxa" w:w="2257"/>
          </w:tcPr>
          <w:p>
            <w:r>
              <w:t>97000</w:t>
            </w:r>
          </w:p>
        </w:tc>
      </w:tr>
      <w:tr>
        <w:tc>
          <w:tcPr>
            <w:tcW w:type="dxa" w:w="2257"/>
          </w:tcPr>
          <w:p>
            <w:r>
              <w:t>Draft: Product B</w:t>
            </w:r>
          </w:p>
        </w:tc>
        <w:tc>
          <w:tcPr>
            <w:tcW w:type="dxa" w:w="2257"/>
          </w:tcPr>
          <w:p>
            <w:r>
              <w:t>32000</w:t>
            </w:r>
          </w:p>
        </w:tc>
        <w:tc>
          <w:tcPr>
            <w:tcW w:type="dxa" w:w="2257"/>
          </w:tcPr>
          <w:p>
            <w:r>
              <w:t>38000</w:t>
            </w:r>
          </w:p>
        </w:tc>
        <w:tc>
          <w:tcPr>
            <w:tcW w:type="dxa" w:w="2257"/>
          </w:tcPr>
          <w:p>
            <w:r>
              <w:t>70000</w:t>
            </w:r>
          </w:p>
        </w:tc>
      </w:tr>
      <w:tr>
        <w:tc>
          <w:tcPr>
            <w:tcW w:type="dxa" w:w="2257"/>
          </w:tcPr>
          <w:p>
            <w:r>
              <w:t>Draft: Feature Coverage</w:t>
            </w:r>
          </w:p>
        </w:tc>
        <w:tc>
          <w:tcPr>
            <w:tcW w:type="dxa" w:w="2257"/>
          </w:tcPr>
          <w:p>
            <w:r>
              <w:t>Draft: Complete</w:t>
            </w:r>
          </w:p>
        </w:tc>
        <w:tc>
          <w:tcPr>
            <w:tcW w:type="dxa" w:w="2257"/>
          </w:tcPr>
          <w:p>
            <w:r>
              <w:t>Draft: Complete</w:t>
            </w:r>
          </w:p>
        </w:tc>
        <w:tc>
          <w:tcPr>
            <w:tcW w:type="dxa" w:w="2257"/>
          </w:tcPr>
          <w:p>
            <w:r>
              <w:t>Draft: Ready</w:t>
            </w:r>
          </w:p>
        </w:tc>
      </w:tr>
    </w:tbl>
    <w:p>
      <w:r>
        <w:rPr>
          <w:rFonts w:ascii="Calibri" w:hAnsi="Calibri"/>
          <w:sz w:val="22"/>
        </w:rPr>
        <w:t>Reference body style anchor.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Comprehensive Handbook | 2026-05-09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