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/>
      </w:pPr>
      <w:r>
        <w:rPr/>
        <w:tab/>
        <w:tab/>
        <w:tab/>
        <w:tab/>
        <w:tab/>
        <w:tab/>
        <w:tab/>
        <w:tab/>
        <w:tab/>
        <w:t>A Coletta Alfonso</w:t>
      </w:r>
    </w:p>
    <w:p>
      <w:pPr>
        <w:pStyle w:val="Normal"/>
        <w:jc w:val="both"/>
        <w:rPr/>
      </w:pPr>
      <w:r>
        <w:rPr/>
        <w:t xml:space="preserve">Oggetto: </w:t>
      </w:r>
      <w:r>
        <w:rPr>
          <w:u w:val="single"/>
        </w:rPr>
        <w:t>deduzioni relative alla proposta di accordo ricevuta tramite PEC dal Geom. Morani e datata 22/11/2024</w:t>
      </w:r>
    </w:p>
    <w:p>
      <w:pPr>
        <w:pStyle w:val="Normal"/>
        <w:jc w:val="both"/>
        <w:rPr>
          <w:bCs/>
        </w:rPr>
      </w:pPr>
      <w:r>
        <w:rPr/>
        <w:t>I sottoscritti Eredi Coletta Elena - Rossi Valter, Rossi Fabio e Rossi Elisa,</w:t>
      </w:r>
      <w:r>
        <w:rPr>
          <w:bCs/>
        </w:rPr>
        <w:t xml:space="preserve"> al fine di </w:t>
      </w:r>
      <w:r>
        <w:rPr>
          <w:bCs/>
          <w:i/>
          <w:iCs/>
        </w:rPr>
        <w:t>trovare un accordo transattivo</w:t>
      </w:r>
      <w:r>
        <w:rPr>
          <w:bCs/>
        </w:rPr>
        <w:t xml:space="preserve"> riguardante la divisione delle parti comuni del compendio immobiliare sito a Guidonia Montecelio in via Liguria 32/34 e distinto in catasto sez. “Le Fosse” Fg 29, part. 554, rimaste indivise al momento dell’atto di donazione/divisione rep. 44831 dell’08/11/1990, riportano di seguito le proprie deduzioni.    </w:t>
      </w:r>
    </w:p>
    <w:p>
      <w:pPr>
        <w:pStyle w:val="Normal"/>
        <w:jc w:val="both"/>
        <w:rPr>
          <w:bCs/>
        </w:rPr>
      </w:pPr>
      <w:r>
        <w:rPr>
          <w:bCs/>
        </w:rPr>
        <w:t>I sottoscritti eredi della Sig.ra Coletta Elena prendono atto che:</w:t>
      </w:r>
    </w:p>
    <w:p>
      <w:pPr>
        <w:pStyle w:val="ListParagraph"/>
        <w:numPr>
          <w:ilvl w:val="0"/>
          <w:numId w:val="1"/>
        </w:numPr>
        <w:jc w:val="both"/>
        <w:rPr>
          <w:bCs/>
        </w:rPr>
      </w:pPr>
      <w:r>
        <w:rPr>
          <w:bCs/>
        </w:rPr>
        <w:t>le quote di proprietà di pertinenza degli stessi eredi è pari ad ¼ di proprietà indivisa (particelle 517, 503, 505, 518, 515);</w:t>
      </w:r>
    </w:p>
    <w:p>
      <w:pPr>
        <w:pStyle w:val="ListParagraph"/>
        <w:numPr>
          <w:ilvl w:val="0"/>
          <w:numId w:val="1"/>
        </w:numPr>
        <w:jc w:val="both"/>
        <w:rPr>
          <w:bCs/>
        </w:rPr>
      </w:pPr>
      <w:r>
        <w:rPr>
          <w:bCs/>
        </w:rPr>
        <w:t>le quote di proprietà di pertinenza di Coletta Alfonso è pari a ¾ di proprietà indivisa (particelle 517, 503, 505, 518, 515);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Cs/>
        </w:rPr>
        <w:t>Il sub 513 non rientra nella comunione in quanto oggetto di vendita da parte di Coletta Maria a Coletta Alfonso;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Cs/>
        </w:rPr>
        <w:t>Il sub 505 ed il sub 515 sono ripartiti nelle proporzioni ¼ eredi Coletta Elena e ¾ Coletta Alfonso;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Cs/>
        </w:rPr>
        <w:t>Coletta Alfonso ha affrontato spese di manutenzione ordinaria e straordinaria fin dal 1990.</w:t>
      </w:r>
    </w:p>
    <w:p>
      <w:pPr>
        <w:pStyle w:val="Normal"/>
        <w:jc w:val="both"/>
        <w:rPr/>
      </w:pPr>
      <w:r>
        <w:rPr/>
        <w:t>Tuttavia osservano che:</w:t>
      </w:r>
    </w:p>
    <w:p>
      <w:pPr>
        <w:pStyle w:val="ListParagraph"/>
        <w:numPr>
          <w:ilvl w:val="0"/>
          <w:numId w:val="1"/>
        </w:numPr>
        <w:jc w:val="both"/>
        <w:rPr>
          <w:i/>
          <w:i/>
          <w:iCs/>
        </w:rPr>
      </w:pPr>
      <w:r>
        <w:rPr>
          <w:bCs/>
        </w:rPr>
        <w:t xml:space="preserve">Le spese sono state affrontate da Coletta Alfonso, </w:t>
      </w:r>
      <w:r>
        <w:rPr>
          <w:bCs/>
          <w:i/>
          <w:iCs/>
        </w:rPr>
        <w:t xml:space="preserve">su iniziativa personale non concordata né autorizzata dagli altri partecipanti alla comunione;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Tutte le spese comunque erano volte a migliorare il godimento individuale, della famiglia di Coletta Alfonso, della proprietà indivisa; 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Le migliorie apportate e le strutture (anche abitative) costruite sull’area indivisa, hanno limitato/impedito il diritto degli altri partecipanti alla comunione, al pieno godimento dell’area stessa (si richiedeva l’utilizzo di una zona dell’area comune come parcheggio/box).</w:t>
      </w:r>
    </w:p>
    <w:p>
      <w:pPr>
        <w:pStyle w:val="Normal"/>
        <w:jc w:val="both"/>
        <w:rPr/>
      </w:pPr>
      <w:r>
        <w:rPr/>
        <w:t>Tutto ciò premesso i sottoscritti eredi della sig. Coletta Elena, rispetto alla proposta ricevuta:</w:t>
      </w:r>
    </w:p>
    <w:p>
      <w:pPr>
        <w:pStyle w:val="ListParagraph"/>
        <w:numPr>
          <w:ilvl w:val="0"/>
          <w:numId w:val="2"/>
        </w:numPr>
        <w:jc w:val="both"/>
        <w:rPr>
          <w:i/>
          <w:i/>
          <w:iCs/>
        </w:rPr>
      </w:pPr>
      <w:r>
        <w:rPr/>
        <w:t xml:space="preserve">Relativamente a </w:t>
      </w:r>
      <w:r>
        <w:rPr/>
        <w:t xml:space="preserve">quanto indicato al punto 1) </w:t>
      </w:r>
      <w:r>
        <w:rPr/>
        <w:t>si accetta</w:t>
      </w:r>
      <w:r>
        <w:rPr/>
        <w:t xml:space="preserve"> il diritto di passaggio pedonale e carrabile dal civico 32 di via Liguria, </w:t>
      </w:r>
      <w:r>
        <w:rPr>
          <w:i/>
          <w:iCs/>
        </w:rPr>
        <w:t xml:space="preserve">lasciando però la proprietà indivisa </w:t>
      </w:r>
      <w:r>
        <w:rPr>
          <w:i/>
          <w:iCs/>
        </w:rPr>
        <w:t>(¾ Coletta Alfonso e ¼ eredi Coletta Elena</w:t>
      </w:r>
      <w:r>
        <w:rPr>
          <w:i/>
          <w:iCs/>
        </w:rPr>
        <w:t>, a servitù di tutte le u.i. che gravano sulla particella 554;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Con riferimento al punto 2) gli eredi Coletta Elena chiedono </w:t>
      </w:r>
      <w:r>
        <w:rPr>
          <w:i/>
          <w:iCs/>
        </w:rPr>
        <w:t>la piena proprietà del 100% della consistenza distinta al sub. 509</w:t>
      </w:r>
      <w:r>
        <w:rPr>
          <w:b w:val="false"/>
          <w:bCs w:val="false"/>
          <w:i/>
          <w:iCs/>
        </w:rPr>
        <w:t xml:space="preserve"> (mq 23);</w:t>
      </w:r>
      <w:r>
        <w:rPr>
          <w:b w:val="false"/>
          <w:bCs w:val="false"/>
        </w:rPr>
        <w:t xml:space="preserve"> 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Rispetto al punto 3) gli eredi </w:t>
      </w:r>
      <w:r>
        <w:rPr>
          <w:i/>
          <w:iCs/>
        </w:rPr>
        <w:t xml:space="preserve">chiedono la piena proprietà di ulteriori </w:t>
      </w:r>
      <w:r>
        <w:rPr>
          <w:b w:val="false"/>
          <w:bCs w:val="false"/>
          <w:i/>
          <w:iCs/>
        </w:rPr>
        <w:t>27 mq</w:t>
      </w:r>
      <w:r>
        <w:rPr>
          <w:i/>
          <w:iCs/>
        </w:rPr>
        <w:t xml:space="preserve"> da ricavare sulla corte comune (sub. 517) in </w:t>
      </w:r>
      <w:r>
        <w:rPr>
          <w:i/>
          <w:iCs/>
          <w:u w:val="single"/>
        </w:rPr>
        <w:t>adiacenza</w:t>
      </w:r>
      <w:r>
        <w:rPr>
          <w:i/>
          <w:iCs/>
        </w:rPr>
        <w:t xml:space="preserve"> al sub 509, in modo che la proprietà di cui al punto 2 possa essere considerata un “corpus” unico con l’area di cui al presente punto;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Accettano quanto indicato al punto 4) ossia la cessione di ¾ dei diritti di proprietà della u.i. distinta con il sub. 515, posta al primo piano, da parte di Coletta Alfonso;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Rispetto al compenso proposto al punto 5) </w:t>
      </w:r>
      <w:r>
        <w:rPr>
          <w:i/>
          <w:iCs/>
        </w:rPr>
        <w:t xml:space="preserve">chiedono un importo di </w:t>
      </w:r>
      <w:r>
        <w:rPr>
          <w:b w:val="false"/>
          <w:bCs w:val="false"/>
          <w:i w:val="false"/>
          <w:iCs w:val="false"/>
        </w:rPr>
        <w:t>E. 1</w:t>
      </w:r>
      <w:r>
        <w:rPr>
          <w:b w:val="false"/>
          <w:bCs w:val="false"/>
          <w:i w:val="false"/>
          <w:iCs w:val="false"/>
        </w:rPr>
        <w:t>2</w:t>
      </w:r>
      <w:r>
        <w:rPr>
          <w:b w:val="false"/>
          <w:bCs w:val="false"/>
          <w:i w:val="false"/>
          <w:iCs w:val="false"/>
        </w:rPr>
        <w:t>.</w:t>
      </w:r>
      <w:r>
        <w:rPr>
          <w:b w:val="false"/>
          <w:bCs w:val="false"/>
          <w:i w:val="false"/>
          <w:iCs w:val="false"/>
        </w:rPr>
        <w:t>5</w:t>
      </w:r>
      <w:r>
        <w:rPr>
          <w:b w:val="false"/>
          <w:bCs w:val="false"/>
          <w:i w:val="false"/>
          <w:iCs w:val="false"/>
        </w:rPr>
        <w:t>00,00.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Accettano di cedere alle condizioni indicate ¼ del diritto di proprietà dei sub. 503, 505, 518; 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L’area comune di cui al punto 517, al netto di quanto indicato al punto 3) </w:t>
      </w:r>
      <w:r>
        <w:rPr>
          <w:b w:val="false"/>
          <w:bCs w:val="false"/>
          <w:i w:val="false"/>
          <w:iCs w:val="false"/>
        </w:rPr>
        <w:t xml:space="preserve">resta a servitù di tutti vincolata esclusivamente ad area di manovra/passaggio pedonale e carrabile dall’ingresso della struttura fino alle proprietà oggetto di divisione delle comunione.  </w:t>
      </w:r>
    </w:p>
    <w:p>
      <w:pPr>
        <w:pStyle w:val="Normal"/>
        <w:jc w:val="both"/>
        <w:rPr/>
      </w:pPr>
      <w:r>
        <w:rPr/>
        <w:t>Il compenso richiesto è motivato da: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la riduzione/annullamento della “cubatura” all’interno dell’area comune utile per la costruzione di un eventuale box, limitando il diritto ad una mera area di parcheggio il cui valore è </w:t>
      </w:r>
      <w:r>
        <w:rPr>
          <w:i/>
          <w:iCs/>
        </w:rPr>
        <w:t>notevolmente inferiore rispetto alle altre costruzioni presenti;</w:t>
      </w:r>
      <w:r>
        <w:rPr/>
        <w:t xml:space="preserve">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il mancato godimento delle aree dal 1990;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l’accrescimento di valore dell’abitazione (sub. 503) dovuto alla cessione in piena proprietà del sub. 18 (cantina), come da richiesta ricevuta per le vie brevi.    </w:t>
      </w:r>
    </w:p>
    <w:p>
      <w:pPr>
        <w:pStyle w:val="Normal"/>
        <w:jc w:val="both"/>
        <w:rPr/>
      </w:pPr>
      <w:r>
        <w:rPr/>
        <w:t>I sottoscritti eredi ritengono la proposta molto vantaggiosa, per i seguenti motivi: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rispetto alla precedente proposta dei sottoscritti eredi Coletta Elena, la richiesta economica è stata ridotta di </w:t>
      </w:r>
      <w:r>
        <w:rPr>
          <w:b w:val="false"/>
          <w:bCs w:val="false"/>
          <w:i w:val="false"/>
          <w:iCs w:val="false"/>
        </w:rPr>
        <w:t>2.5</w:t>
      </w:r>
      <w:r>
        <w:rPr>
          <w:b w:val="false"/>
          <w:bCs w:val="false"/>
          <w:i w:val="false"/>
          <w:iCs w:val="false"/>
        </w:rPr>
        <w:t>000 Euro,</w:t>
      </w:r>
      <w:r>
        <w:rPr/>
        <w:t xml:space="preserve"> oltre che per un gesto di buona volontà, anche per consentire l’abbattimento delle strutture esistenti (tettoia e costruzione sub 509), in quanto ai sottoscritti interessa un’unica superficie da circoscrivere e da adibire comodamente a</w:t>
      </w:r>
      <w:r>
        <w:rPr>
          <w:b/>
          <w:bCs/>
        </w:rPr>
        <w:t xml:space="preserve"> </w:t>
      </w:r>
      <w:r>
        <w:rPr>
          <w:b w:val="false"/>
          <w:bCs w:val="false"/>
        </w:rPr>
        <w:t xml:space="preserve">parcheggio o box, nel caso in cui sia ancora disponibile cubatura;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altresì la richiesta in termini di superficie è stata ridotta a 50 mq complessivi, onde consentire una maggiore fruizione delle aree all’immobile sub. 503;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non ha tenuto conto del valore degli immobili oggetto di proprietà indivisa, ma è stata effettuata una stima solo sulla base delle superfici. La valutazione a valore di mercato sarebbe stata più alta.</w:t>
      </w:r>
    </w:p>
    <w:p>
      <w:pPr>
        <w:pStyle w:val="Normal"/>
        <w:jc w:val="both"/>
        <w:rPr/>
      </w:pPr>
      <w:r>
        <w:rPr/>
        <w:t xml:space="preserve">Inoltre, vi ricordiamo che relativamente all’interruzione dei lavori relativi al sub. 503/518 avviati l’anno scorso, l’azione di diffida (lettera del 9 marzo 2024)  si era resa necessaria, a salvaguardia di tutti i comproprietari, in quanto la CILA risultava formalmente e giuridicamente errata e poteva coinvolgere anche i sottoscritti eredi in eventuali azioni di responsabilità per violazione delle norme sulla sicurezza e urbanistiche. </w:t>
      </w:r>
    </w:p>
    <w:p>
      <w:pPr>
        <w:pStyle w:val="Normal"/>
        <w:spacing w:before="0" w:after="160"/>
        <w:jc w:val="both"/>
        <w:rPr/>
      </w:pPr>
      <w:r>
        <w:rPr/>
        <w:t xml:space="preserve">Si resta in attesa di riscontro.  </w:t>
      </w:r>
    </w:p>
    <w:p>
      <w:pPr>
        <w:pStyle w:val="Normal"/>
        <w:spacing w:before="0" w:after="160"/>
        <w:jc w:val="both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/>
        <w:t>Frosinone lì 12.01.2025</w:t>
      </w:r>
    </w:p>
    <w:p>
      <w:pPr>
        <w:pStyle w:val="Normal"/>
        <w:spacing w:before="0" w:after="160"/>
        <w:jc w:val="both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/>
        <w:t>Gli eredi</w:t>
      </w:r>
    </w:p>
    <w:p>
      <w:pPr>
        <w:pStyle w:val="Normal"/>
        <w:spacing w:before="0" w:after="160"/>
        <w:jc w:val="both"/>
        <w:rPr/>
      </w:pPr>
      <w:r>
        <w:rPr/>
        <w:t>Rossi Valter                                Rossi Elisa                            Rossi Fabio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72699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72699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72699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72699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72699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72699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72699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72699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72699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72699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72699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72699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72699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726991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726991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726991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726991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726991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72699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72699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72699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26991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72699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26991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72699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72699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72699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2699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726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Application>LibreOffice/24.2.3.2$Windows_X86_64 LibreOffice_project/433d9c2ded56988e8a90e6b2e771ee4e6a5ab2ba</Application>
  <AppVersion>15.0000</AppVersion>
  <Pages>2</Pages>
  <Words>803</Words>
  <Characters>4303</Characters>
  <CharactersWithSpaces>5138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2025-01-06T17:02:00Z</dcterms:created>
  <dc:creator>Luigina Arciero</dc:creator>
  <dc:description/>
  <dc:language>it-IT</dc:language>
  <cp:lastModifiedBy/>
  <dcterms:modified xsi:type="dcterms:W3CDTF">2025-01-12T23:20:14Z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