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
      </w:pPr>
      <w:r>
        <w:rPr>
          <w:rFonts w:ascii="Arial" w:cs="Arial" w:eastAsia="Arial" w:hAnsi="Arial"/>
          <w:b w:val="false"/>
          <w:bCs w:val="false"/>
          <w:i w:val="false"/>
          <w:iCs w:val="false"/>
          <w:color w:val="222222"/>
          <w:sz w:val="22"/>
          <w:szCs w:val="22"/>
        </w:rPr>
        <w:t xml:space="preserve"/>
      </w:r>
    </w:p>
    <w:p>
      <w:pPr>
        <w:spacing w:after="0" w:before="260"/>
      </w:pPr>
      <w:r>
        <w:rPr>
          <w:rFonts w:ascii="Arial" w:cs="Arial" w:eastAsia="Arial" w:hAnsi="Arial"/>
          <w:b w:val="false"/>
          <w:bCs w:val="false"/>
          <w:i w:val="false"/>
          <w:iCs w:val="false"/>
          <w:color w:val="222222"/>
          <w:sz w:val="22"/>
          <w:szCs w:val="22"/>
        </w:rPr>
        <w:t xml:space="preserve"/>
      </w:r>
    </w:p>
    <w:p>
      <w:pPr>
        <w:spacing w:after="180" w:before="600"/>
        <w:jc w:val="center"/>
      </w:pPr>
      <w:r>
        <w:rPr>
          <w:rFonts w:ascii="Arial" w:cs="Arial" w:eastAsia="Arial" w:hAnsi="Arial"/>
          <w:b/>
          <w:bCs/>
          <w:color w:val="1F3864"/>
          <w:sz w:val="60"/>
          <w:szCs w:val="60"/>
        </w:rPr>
        <w:t xml:space="preserve">PORTFÓLIO DE AUTOMAÇÕES</w:t>
      </w:r>
    </w:p>
    <w:p>
      <w:pPr>
        <w:spacing w:after="80" w:before="0"/>
        <w:jc w:val="center"/>
      </w:pPr>
      <w:r>
        <w:rPr>
          <w:rFonts w:ascii="Arial" w:cs="Arial" w:eastAsia="Arial" w:hAnsi="Arial"/>
          <w:i/>
          <w:iCs/>
          <w:color w:val="666666"/>
          <w:sz w:val="28"/>
          <w:szCs w:val="28"/>
        </w:rPr>
        <w:t xml:space="preserve">Viseu Advogados — Controladoria Digital</w:t>
      </w:r>
    </w:p>
    <w:p>
      <w:pPr>
        <w:spacing w:after="500" w:before="0"/>
        <w:jc w:val="center"/>
      </w:pPr>
      <w:r>
        <w:rPr>
          <w:rFonts w:ascii="Arial" w:cs="Arial" w:eastAsia="Arial" w:hAnsi="Arial"/>
          <w:color w:val="999999"/>
          <w:sz w:val="22"/>
          <w:szCs w:val="22"/>
        </w:rPr>
        <w:t xml:space="preserve">Análise Técnica e Comercial  ·  11 Projetos  ·  Junho 2026</w:t>
      </w:r>
    </w:p>
    <w:p>
      <w:pPr>
        <w:pBdr>
          <w:bottom w:val="single" w:color="D9E2F3" w:sz="4" w:space="4"/>
        </w:pBdr>
        <w:spacing w:after="0" w:before="0"/>
        <w:jc w:val="center"/>
      </w:pPr>
      <w:r>
        <w:rPr>
          <w:rFonts w:ascii="Arial" w:cs="Arial" w:eastAsia="Arial" w:hAnsi="Arial"/>
          <w:b w:val="false"/>
          <w:bCs w:val="false"/>
          <w:i w:val="false"/>
          <w:iCs w:val="false"/>
          <w:color w:val="222222"/>
          <w:sz w:val="22"/>
          <w:szCs w:val="22"/>
        </w:rPr>
        <w:t xml:space="preserve"/>
      </w:r>
    </w:p>
    <w:p>
      <w:pPr>
        <w:spacing w:after="0" w:before="260"/>
      </w:pPr>
      <w:r>
        <w:rPr>
          <w:rFonts w:ascii="Arial" w:cs="Arial" w:eastAsia="Arial" w:hAnsi="Arial"/>
          <w:b w:val="false"/>
          <w:bCs w:val="false"/>
          <w:i w:val="false"/>
          <w:iCs w:val="false"/>
          <w:color w:val="222222"/>
          <w:sz w:val="22"/>
          <w:szCs w:val="22"/>
        </w:rPr>
        <w:t xml:space="preserve"/>
      </w:r>
    </w:p>
    <w:p>
      <w:pPr>
        <w:pBdr>
          <w:bottom w:val="single" w:color="1F3864" w:sz="8" w:space="4"/>
        </w:pBdr>
        <w:spacing w:after="120" w:before="280"/>
      </w:pPr>
      <w:r>
        <w:rPr>
          <w:rFonts w:ascii="Arial" w:cs="Arial" w:eastAsia="Arial" w:hAnsi="Arial"/>
          <w:b/>
          <w:bCs/>
          <w:color w:val="1F3864"/>
          <w:sz w:val="32"/>
          <w:szCs w:val="32"/>
        </w:rPr>
        <w:t xml:space="preserve">Sobre este Portfólio</w:t>
      </w:r>
    </w:p>
    <w:p>
      <w:pPr>
        <w:spacing w:after="60" w:before="60"/>
      </w:pPr>
      <w:r>
        <w:rPr>
          <w:rFonts w:ascii="Arial" w:cs="Arial" w:eastAsia="Arial" w:hAnsi="Arial"/>
          <w:b w:val="false"/>
          <w:bCs w:val="false"/>
          <w:i w:val="false"/>
          <w:iCs w:val="false"/>
          <w:color w:val="444444"/>
          <w:sz w:val="22"/>
          <w:szCs w:val="22"/>
        </w:rPr>
        <w:t xml:space="preserve">Este documento reúne as </w:t>
      </w:r>
      <w:r>
        <w:rPr>
          <w:rFonts w:ascii="Arial" w:cs="Arial" w:eastAsia="Arial" w:hAnsi="Arial"/>
          <w:b/>
          <w:bCs/>
          <w:i w:val="false"/>
          <w:iCs w:val="false"/>
          <w:color w:val="1F3864"/>
          <w:sz w:val="22"/>
          <w:szCs w:val="22"/>
        </w:rPr>
        <w:t xml:space="preserve">11 ferramentas de automação jurídica</w:t>
      </w:r>
      <w:r>
        <w:rPr>
          <w:rFonts w:ascii="Arial" w:cs="Arial" w:eastAsia="Arial" w:hAnsi="Arial"/>
          <w:b w:val="false"/>
          <w:bCs w:val="false"/>
          <w:i w:val="false"/>
          <w:iCs w:val="false"/>
          <w:color w:val="444444"/>
          <w:sz w:val="22"/>
          <w:szCs w:val="22"/>
        </w:rPr>
        <w:t xml:space="preserve"> desenvolvidas pela Controladoria Digital do Viseu Advogados. Cada projeto é apresentado com foco na sua </w:t>
      </w:r>
      <w:r>
        <w:rPr>
          <w:rFonts w:ascii="Arial" w:cs="Arial" w:eastAsia="Arial" w:hAnsi="Arial"/>
          <w:b/>
          <w:bCs/>
          <w:i w:val="false"/>
          <w:iCs w:val="false"/>
          <w:color w:val="1F3864"/>
          <w:sz w:val="22"/>
          <w:szCs w:val="22"/>
        </w:rPr>
        <w:t xml:space="preserve">aplicação comercial real</w:t>
      </w:r>
      <w:r>
        <w:rPr>
          <w:rFonts w:ascii="Arial" w:cs="Arial" w:eastAsia="Arial" w:hAnsi="Arial"/>
          <w:b w:val="false"/>
          <w:bCs w:val="false"/>
          <w:i w:val="false"/>
          <w:iCs w:val="false"/>
          <w:color w:val="444444"/>
          <w:sz w:val="22"/>
          <w:szCs w:val="22"/>
        </w:rPr>
        <w:t xml:space="preserve"> — o problema que resolve, o tempo que economiza e o valor que gera para o escritório e seus clientes.</w:t>
      </w:r>
    </w:p>
    <w:p>
      <w:pPr>
        <w:spacing w:after="0" w:before="140"/>
      </w:pPr>
      <w:r>
        <w:rPr>
          <w:rFonts w:ascii="Arial" w:cs="Arial" w:eastAsia="Arial" w:hAnsi="Arial"/>
          <w:b w:val="false"/>
          <w:bCs w:val="false"/>
          <w:i w:val="false"/>
          <w:iCs w:val="false"/>
          <w:color w:val="222222"/>
          <w:sz w:val="22"/>
          <w:szCs w:val="22"/>
        </w:rPr>
        <w:t xml:space="preserve"/>
      </w:r>
    </w:p>
    <w:p>
      <w:pPr>
        <w:spacing w:after="60" w:before="60"/>
      </w:pPr>
      <w:r>
        <w:rPr>
          <w:rFonts w:ascii="Arial" w:cs="Arial" w:eastAsia="Arial" w:hAnsi="Arial"/>
          <w:b w:val="false"/>
          <w:bCs w:val="false"/>
          <w:i w:val="false"/>
          <w:iCs w:val="false"/>
          <w:color w:val="444444"/>
          <w:sz w:val="22"/>
          <w:szCs w:val="22"/>
        </w:rPr>
        <w:t xml:space="preserve">O portfólio cobre automação judicial multiportal (eProc, PJe, eLaw), leitura inteligente de publicações com OCR, cadastro em massa de processos para clientes como </w:t>
      </w:r>
      <w:r>
        <w:rPr>
          <w:rFonts w:ascii="Arial" w:cs="Arial" w:eastAsia="Arial" w:hAnsi="Arial"/>
          <w:b/>
          <w:bCs/>
          <w:i w:val="false"/>
          <w:iCs w:val="false"/>
          <w:color w:val="1F3864"/>
          <w:sz w:val="22"/>
          <w:szCs w:val="22"/>
        </w:rPr>
        <w:t xml:space="preserve">Ânima, Nubank, Pandora</w:t>
      </w:r>
      <w:r>
        <w:rPr>
          <w:rFonts w:ascii="Arial" w:cs="Arial" w:eastAsia="Arial" w:hAnsi="Arial"/>
          <w:b w:val="false"/>
          <w:bCs w:val="false"/>
          <w:i w:val="false"/>
          <w:iCs w:val="false"/>
          <w:color w:val="444444"/>
          <w:sz w:val="22"/>
          <w:szCs w:val="22"/>
        </w:rPr>
        <w:t xml:space="preserve"> e </w:t>
      </w:r>
      <w:r>
        <w:rPr>
          <w:rFonts w:ascii="Arial" w:cs="Arial" w:eastAsia="Arial" w:hAnsi="Arial"/>
          <w:b/>
          <w:bCs/>
          <w:i w:val="false"/>
          <w:iCs w:val="false"/>
          <w:color w:val="1F3864"/>
          <w:sz w:val="22"/>
          <w:szCs w:val="22"/>
        </w:rPr>
        <w:t xml:space="preserve">Eventim</w:t>
      </w:r>
      <w:r>
        <w:rPr>
          <w:rFonts w:ascii="Arial" w:cs="Arial" w:eastAsia="Arial" w:hAnsi="Arial"/>
          <w:b w:val="false"/>
          <w:bCs w:val="false"/>
          <w:i w:val="false"/>
          <w:iCs w:val="false"/>
          <w:color w:val="444444"/>
          <w:sz w:val="22"/>
          <w:szCs w:val="22"/>
        </w:rPr>
        <w:t xml:space="preserve">, além de distribuição de atividades e auditoria de cadastros. Todas as ferramentas foram construídas com tecnologias open-source, sem custo de licença, e operam no Windows via interface web local ou extensão de navegador.</w:t>
      </w:r>
    </w:p>
    <w:p>
      <w:pPr>
        <w:spacing w:after="0" w:before="260"/>
      </w:pPr>
      <w:r>
        <w:rPr>
          <w:rFonts w:ascii="Arial" w:cs="Arial" w:eastAsia="Arial" w:hAnsi="Arial"/>
          <w:b w:val="false"/>
          <w:bCs w:val="false"/>
          <w:i w:val="false"/>
          <w:iCs w:val="false"/>
          <w:color w:val="222222"/>
          <w:sz w:val="22"/>
          <w:szCs w:val="22"/>
        </w:rPr>
        <w:t xml:space="preserve"/>
      </w:r>
    </w:p>
    <w:p>
      <w:pPr>
        <w:pBdr>
          <w:bottom w:val="single" w:color="1F3864" w:sz="8" w:space="4"/>
        </w:pBdr>
        <w:spacing w:after="120" w:before="280"/>
      </w:pPr>
      <w:r>
        <w:rPr>
          <w:rFonts w:ascii="Arial" w:cs="Arial" w:eastAsia="Arial" w:hAnsi="Arial"/>
          <w:b/>
          <w:bCs/>
          <w:color w:val="1F3864"/>
          <w:sz w:val="32"/>
          <w:szCs w:val="32"/>
        </w:rPr>
        <w:t xml:space="preserve">Visão Geral — 11 Projetos</w:t>
      </w:r>
    </w:p>
    <w:p>
      <w:pPr>
        <w:spacing w:after="0" w:before="140"/>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1200"/>
        <w:gridCol w:w="1960"/>
      </w:tblGrid>
      <w:tr>
        <w:trPr>
          <w:tblHeader/>
        </w:trPr>
        <w:tc>
          <w:tcPr>
            <w:tcW w:type="dxa" w:w="2200"/>
            <w:tcBorders>
              <w:top w:val="single" w:color="C5D0E0" w:sz="1"/>
              <w:left w:val="single" w:color="C5D0E0" w:sz="1"/>
              <w:bottom w:val="single" w:color="C5D0E0" w:sz="1"/>
              <w:right w:val="single" w:color="C5D0E0" w:sz="1"/>
            </w:tcBorders>
            <w:shd w:fill="1F3864" w:val="clear"/>
            <w:tcMar>
              <w:top w:type="dxa" w:w="80"/>
              <w:left w:type="dxa" w:w="160"/>
              <w:bottom w:type="dxa" w:w="80"/>
              <w:right w:type="dxa" w:w="160"/>
            </w:tcMar>
            <w:vAlign w:val="center"/>
          </w:tcPr>
          <w:p>
            <w:pPr>
              <w:spacing w:after="0" w:before="0"/>
              <w:jc w:val="left"/>
            </w:pPr>
            <w:r>
              <w:rPr>
                <w:rFonts w:ascii="Arial" w:cs="Arial" w:eastAsia="Arial" w:hAnsi="Arial"/>
                <w:b/>
                <w:bCs/>
                <w:i w:val="false"/>
                <w:iCs w:val="false"/>
                <w:color w:val="FFFFFF"/>
                <w:sz w:val="20"/>
                <w:szCs w:val="20"/>
              </w:rPr>
              <w:t xml:space="preserve">Projeto</w:t>
            </w:r>
          </w:p>
        </w:tc>
        <w:tc>
          <w:tcPr>
            <w:tcW w:type="dxa" w:w="2800"/>
            <w:tcBorders>
              <w:top w:val="single" w:color="C5D0E0" w:sz="1"/>
              <w:left w:val="single" w:color="C5D0E0" w:sz="1"/>
              <w:bottom w:val="single" w:color="C5D0E0" w:sz="1"/>
              <w:right w:val="single" w:color="C5D0E0" w:sz="1"/>
            </w:tcBorders>
            <w:shd w:fill="1F3864" w:val="clear"/>
            <w:tcMar>
              <w:top w:type="dxa" w:w="80"/>
              <w:left w:type="dxa" w:w="160"/>
              <w:bottom w:type="dxa" w:w="80"/>
              <w:right w:type="dxa" w:w="160"/>
            </w:tcMar>
            <w:vAlign w:val="center"/>
          </w:tcPr>
          <w:p>
            <w:pPr>
              <w:spacing w:after="0" w:before="0"/>
              <w:jc w:val="left"/>
            </w:pPr>
            <w:r>
              <w:rPr>
                <w:rFonts w:ascii="Arial" w:cs="Arial" w:eastAsia="Arial" w:hAnsi="Arial"/>
                <w:b/>
                <w:bCs/>
                <w:i w:val="false"/>
                <w:iCs w:val="false"/>
                <w:color w:val="FFFFFF"/>
                <w:sz w:val="20"/>
                <w:szCs w:val="20"/>
              </w:rPr>
              <w:t xml:space="preserve">Aplicação</w:t>
            </w:r>
          </w:p>
        </w:tc>
        <w:tc>
          <w:tcPr>
            <w:tcW w:type="dxa" w:w="1200"/>
            <w:tcBorders>
              <w:top w:val="single" w:color="C5D0E0" w:sz="1"/>
              <w:left w:val="single" w:color="C5D0E0" w:sz="1"/>
              <w:bottom w:val="single" w:color="C5D0E0" w:sz="1"/>
              <w:right w:val="single" w:color="C5D0E0" w:sz="1"/>
            </w:tcBorders>
            <w:shd w:fill="1F3864" w:val="clear"/>
            <w:tcMar>
              <w:top w:type="dxa" w:w="80"/>
              <w:left w:type="dxa" w:w="160"/>
              <w:bottom w:type="dxa" w:w="80"/>
              <w:right w:type="dxa" w:w="160"/>
            </w:tcMar>
            <w:vAlign w:val="center"/>
          </w:tcPr>
          <w:p>
            <w:pPr>
              <w:spacing w:after="0" w:before="0"/>
              <w:jc w:val="left"/>
            </w:pPr>
            <w:r>
              <w:rPr>
                <w:rFonts w:ascii="Arial" w:cs="Arial" w:eastAsia="Arial" w:hAnsi="Arial"/>
                <w:b/>
                <w:bCs/>
                <w:i w:val="false"/>
                <w:iCs w:val="false"/>
                <w:color w:val="FFFFFF"/>
                <w:sz w:val="20"/>
                <w:szCs w:val="20"/>
              </w:rPr>
              <w:t xml:space="preserve">Stack</w:t>
            </w:r>
          </w:p>
        </w:tc>
        <w:tc>
          <w:tcPr>
            <w:tcW w:type="dxa" w:w="1200"/>
            <w:tcBorders>
              <w:top w:val="single" w:color="C5D0E0" w:sz="1"/>
              <w:left w:val="single" w:color="C5D0E0" w:sz="1"/>
              <w:bottom w:val="single" w:color="C5D0E0" w:sz="1"/>
              <w:right w:val="single" w:color="C5D0E0" w:sz="1"/>
            </w:tcBorders>
            <w:shd w:fill="1F3864" w:val="clear"/>
            <w:tcMar>
              <w:top w:type="dxa" w:w="80"/>
              <w:left w:type="dxa" w:w="160"/>
              <w:bottom w:type="dxa" w:w="80"/>
              <w:right w:type="dxa" w:w="160"/>
            </w:tcMar>
            <w:vAlign w:val="center"/>
          </w:tcPr>
          <w:p>
            <w:pPr>
              <w:spacing w:after="0" w:before="0"/>
              <w:jc w:val="left"/>
            </w:pPr>
            <w:r>
              <w:rPr>
                <w:rFonts w:ascii="Arial" w:cs="Arial" w:eastAsia="Arial" w:hAnsi="Arial"/>
                <w:b/>
                <w:bCs/>
                <w:i w:val="false"/>
                <w:iCs w:val="false"/>
                <w:color w:val="FFFFFF"/>
                <w:sz w:val="20"/>
                <w:szCs w:val="20"/>
              </w:rPr>
              <w:t xml:space="preserve">Módulos</w:t>
            </w:r>
          </w:p>
        </w:tc>
        <w:tc>
          <w:tcPr>
            <w:tcW w:type="dxa" w:w="1960"/>
            <w:tcBorders>
              <w:top w:val="single" w:color="C5D0E0" w:sz="1"/>
              <w:left w:val="single" w:color="C5D0E0" w:sz="1"/>
              <w:bottom w:val="single" w:color="C5D0E0" w:sz="1"/>
              <w:right w:val="single" w:color="C5D0E0" w:sz="1"/>
            </w:tcBorders>
            <w:shd w:fill="1F3864" w:val="clear"/>
            <w:tcMar>
              <w:top w:type="dxa" w:w="80"/>
              <w:left w:type="dxa" w:w="160"/>
              <w:bottom w:type="dxa" w:w="80"/>
              <w:right w:type="dxa" w:w="160"/>
            </w:tcMar>
            <w:vAlign w:val="center"/>
          </w:tcPr>
          <w:p>
            <w:pPr>
              <w:spacing w:after="0" w:before="0"/>
              <w:jc w:val="center"/>
            </w:pPr>
            <w:r>
              <w:rPr>
                <w:rFonts w:ascii="Arial" w:cs="Arial" w:eastAsia="Arial" w:hAnsi="Arial"/>
                <w:b/>
                <w:bCs/>
                <w:i w:val="false"/>
                <w:iCs w:val="false"/>
                <w:color w:val="FFFFFF"/>
                <w:sz w:val="18"/>
                <w:szCs w:val="18"/>
              </w:rPr>
              <w:t xml:space="preserve">Valor Est.</w:t>
            </w:r>
          </w:p>
        </w:tc>
      </w:tr>
      <w:tr>
        <w:tc>
          <w:tcPr>
            <w:tcW w:type="dxa" w:w="22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000000"/>
                <w:sz w:val="20"/>
                <w:szCs w:val="20"/>
              </w:rPr>
              <w:t xml:space="preserve">rpa-elaw-anima-master</w:t>
            </w:r>
          </w:p>
        </w:tc>
        <w:tc>
          <w:tcPr>
            <w:tcW w:type="dxa" w:w="28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444444"/>
                <w:sz w:val="18"/>
                <w:szCs w:val="18"/>
              </w:rPr>
              <w:t xml:space="preserve">RPA de Complemento de Cadastro Judicial — eLaw Ânima</w:t>
            </w:r>
          </w:p>
        </w:tc>
        <w:tc>
          <w:tcPr>
            <w:tcW w:type="dxa" w:w="12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555555"/>
                <w:sz w:val="17"/>
                <w:szCs w:val="17"/>
              </w:rPr>
              <w:t xml:space="preserve">Python</w:t>
            </w:r>
          </w:p>
        </w:tc>
        <w:tc>
          <w:tcPr>
            <w:tcW w:type="dxa" w:w="12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777777"/>
                <w:sz w:val="17"/>
                <w:szCs w:val="17"/>
              </w:rPr>
              <w:t xml:space="preserve">1 módulo</w:t>
            </w:r>
          </w:p>
        </w:tc>
        <w:tc>
          <w:tcPr>
            <w:tcW w:type="dxa" w:w="1960"/>
            <w:tcBorders>
              <w:top w:val="single" w:color="C5D0E0" w:sz="1"/>
              <w:left w:val="single" w:color="C5D0E0" w:sz="1"/>
              <w:bottom w:val="single" w:color="C5D0E0" w:sz="1"/>
              <w:right w:val="single" w:color="C5D0E0" w:sz="1"/>
            </w:tcBorders>
            <w:shd w:fill="E8F5E9" w:val="clear"/>
            <w:tcMar>
              <w:top w:type="dxa" w:w="80"/>
              <w:left w:type="dxa" w:w="160"/>
              <w:bottom w:type="dxa" w:w="80"/>
              <w:right w:type="dxa" w:w="160"/>
            </w:tcMar>
            <w:vAlign w:val="center"/>
          </w:tcPr>
          <w:p>
            <w:pPr>
              <w:spacing w:after="0" w:before="0"/>
              <w:jc w:val="center"/>
            </w:pPr>
            <w:r>
              <w:rPr>
                <w:rFonts w:ascii="Arial" w:cs="Arial" w:eastAsia="Arial" w:hAnsi="Arial"/>
                <w:b/>
                <w:bCs/>
                <w:i w:val="false"/>
                <w:iCs w:val="false"/>
                <w:color w:val="1B5E20"/>
                <w:sz w:val="18"/>
                <w:szCs w:val="18"/>
              </w:rPr>
              <w:t xml:space="preserve">R$ 55.000 – R$ 100.000</w:t>
            </w:r>
          </w:p>
        </w:tc>
      </w:tr>
      <w:tr>
        <w:tc>
          <w:tcPr>
            <w:tcW w:type="dxa" w:w="2200"/>
            <w:tcBorders>
              <w:top w:val="single" w:color="C5D0E0" w:sz="1"/>
              <w:left w:val="single" w:color="C5D0E0" w:sz="1"/>
              <w:bottom w:val="single" w:color="C5D0E0" w:sz="1"/>
              <w:right w:val="single" w:color="C5D0E0"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000000"/>
                <w:sz w:val="20"/>
                <w:szCs w:val="20"/>
              </w:rPr>
              <w:t xml:space="preserve">rpa-elaw-viseu</w:t>
            </w:r>
          </w:p>
        </w:tc>
        <w:tc>
          <w:tcPr>
            <w:tcW w:type="dxa" w:w="2800"/>
            <w:tcBorders>
              <w:top w:val="single" w:color="C5D0E0" w:sz="1"/>
              <w:left w:val="single" w:color="C5D0E0" w:sz="1"/>
              <w:bottom w:val="single" w:color="C5D0E0" w:sz="1"/>
              <w:right w:val="single" w:color="C5D0E0"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444444"/>
                <w:sz w:val="18"/>
                <w:szCs w:val="18"/>
              </w:rPr>
              <w:t xml:space="preserve">RPA de Automação Interna — eLaw Viseu Advogados (4 Módulos)</w:t>
            </w:r>
          </w:p>
        </w:tc>
        <w:tc>
          <w:tcPr>
            <w:tcW w:type="dxa" w:w="1200"/>
            <w:tcBorders>
              <w:top w:val="single" w:color="C5D0E0" w:sz="1"/>
              <w:left w:val="single" w:color="C5D0E0" w:sz="1"/>
              <w:bottom w:val="single" w:color="C5D0E0" w:sz="1"/>
              <w:right w:val="single" w:color="C5D0E0"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555555"/>
                <w:sz w:val="17"/>
                <w:szCs w:val="17"/>
              </w:rPr>
              <w:t xml:space="preserve">Python</w:t>
            </w:r>
          </w:p>
        </w:tc>
        <w:tc>
          <w:tcPr>
            <w:tcW w:type="dxa" w:w="1200"/>
            <w:tcBorders>
              <w:top w:val="single" w:color="C5D0E0" w:sz="1"/>
              <w:left w:val="single" w:color="C5D0E0" w:sz="1"/>
              <w:bottom w:val="single" w:color="C5D0E0" w:sz="1"/>
              <w:right w:val="single" w:color="C5D0E0"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777777"/>
                <w:sz w:val="17"/>
                <w:szCs w:val="17"/>
              </w:rPr>
              <w:t xml:space="preserve">2 módulos</w:t>
            </w:r>
          </w:p>
        </w:tc>
        <w:tc>
          <w:tcPr>
            <w:tcW w:type="dxa" w:w="1960"/>
            <w:tcBorders>
              <w:top w:val="single" w:color="C5D0E0" w:sz="1"/>
              <w:left w:val="single" w:color="C5D0E0" w:sz="1"/>
              <w:bottom w:val="single" w:color="C5D0E0" w:sz="1"/>
              <w:right w:val="single" w:color="C5D0E0" w:sz="1"/>
            </w:tcBorders>
            <w:shd w:fill="E8F5E9" w:val="clear"/>
            <w:tcMar>
              <w:top w:type="dxa" w:w="80"/>
              <w:left w:type="dxa" w:w="160"/>
              <w:bottom w:type="dxa" w:w="80"/>
              <w:right w:type="dxa" w:w="160"/>
            </w:tcMar>
            <w:vAlign w:val="center"/>
          </w:tcPr>
          <w:p>
            <w:pPr>
              <w:spacing w:after="0" w:before="0"/>
              <w:jc w:val="center"/>
            </w:pPr>
            <w:r>
              <w:rPr>
                <w:rFonts w:ascii="Arial" w:cs="Arial" w:eastAsia="Arial" w:hAnsi="Arial"/>
                <w:b/>
                <w:bCs/>
                <w:i w:val="false"/>
                <w:iCs w:val="false"/>
                <w:color w:val="1B5E20"/>
                <w:sz w:val="18"/>
                <w:szCs w:val="18"/>
              </w:rPr>
              <w:t xml:space="preserve">R$ 50.000 – R$ 90.000</w:t>
            </w:r>
          </w:p>
        </w:tc>
      </w:tr>
      <w:tr>
        <w:tc>
          <w:tcPr>
            <w:tcW w:type="dxa" w:w="22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000000"/>
                <w:sz w:val="20"/>
                <w:szCs w:val="20"/>
              </w:rPr>
              <w:t xml:space="preserve">rpa-judicial-viseu</w:t>
            </w:r>
          </w:p>
        </w:tc>
        <w:tc>
          <w:tcPr>
            <w:tcW w:type="dxa" w:w="28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444444"/>
                <w:sz w:val="18"/>
                <w:szCs w:val="18"/>
              </w:rPr>
              <w:t xml:space="preserve">Automação Judicial Multiportal — eProc SP + PJe TJRJ via Chrome CDP</w:t>
            </w:r>
          </w:p>
        </w:tc>
        <w:tc>
          <w:tcPr>
            <w:tcW w:type="dxa" w:w="12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555555"/>
                <w:sz w:val="17"/>
                <w:szCs w:val="17"/>
              </w:rPr>
              <w:t xml:space="preserve">Python</w:t>
            </w:r>
          </w:p>
        </w:tc>
        <w:tc>
          <w:tcPr>
            <w:tcW w:type="dxa" w:w="12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777777"/>
                <w:sz w:val="17"/>
                <w:szCs w:val="17"/>
              </w:rPr>
              <w:t xml:space="preserve">3 módulos</w:t>
            </w:r>
          </w:p>
        </w:tc>
        <w:tc>
          <w:tcPr>
            <w:tcW w:type="dxa" w:w="1960"/>
            <w:tcBorders>
              <w:top w:val="single" w:color="C5D0E0" w:sz="1"/>
              <w:left w:val="single" w:color="C5D0E0" w:sz="1"/>
              <w:bottom w:val="single" w:color="C5D0E0" w:sz="1"/>
              <w:right w:val="single" w:color="C5D0E0" w:sz="1"/>
            </w:tcBorders>
            <w:shd w:fill="E8F5E9" w:val="clear"/>
            <w:tcMar>
              <w:top w:type="dxa" w:w="80"/>
              <w:left w:type="dxa" w:w="160"/>
              <w:bottom w:type="dxa" w:w="80"/>
              <w:right w:type="dxa" w:w="160"/>
            </w:tcMar>
            <w:vAlign w:val="center"/>
          </w:tcPr>
          <w:p>
            <w:pPr>
              <w:spacing w:after="0" w:before="0"/>
              <w:jc w:val="center"/>
            </w:pPr>
            <w:r>
              <w:rPr>
                <w:rFonts w:ascii="Arial" w:cs="Arial" w:eastAsia="Arial" w:hAnsi="Arial"/>
                <w:b/>
                <w:bCs/>
                <w:i w:val="false"/>
                <w:iCs w:val="false"/>
                <w:color w:val="1B5E20"/>
                <w:sz w:val="18"/>
                <w:szCs w:val="18"/>
              </w:rPr>
              <w:t xml:space="preserve">R$ 60.000 – R$ 120.000</w:t>
            </w:r>
          </w:p>
        </w:tc>
      </w:tr>
      <w:tr>
        <w:tc>
          <w:tcPr>
            <w:tcW w:type="dxa" w:w="2200"/>
            <w:tcBorders>
              <w:top w:val="single" w:color="C5D0E0" w:sz="1"/>
              <w:left w:val="single" w:color="C5D0E0" w:sz="1"/>
              <w:bottom w:val="single" w:color="C5D0E0" w:sz="1"/>
              <w:right w:val="single" w:color="C5D0E0"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000000"/>
                <w:sz w:val="20"/>
                <w:szCs w:val="20"/>
              </w:rPr>
              <w:t xml:space="preserve">Publicacoes</w:t>
            </w:r>
          </w:p>
        </w:tc>
        <w:tc>
          <w:tcPr>
            <w:tcW w:type="dxa" w:w="2800"/>
            <w:tcBorders>
              <w:top w:val="single" w:color="C5D0E0" w:sz="1"/>
              <w:left w:val="single" w:color="C5D0E0" w:sz="1"/>
              <w:bottom w:val="single" w:color="C5D0E0" w:sz="1"/>
              <w:right w:val="single" w:color="C5D0E0"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444444"/>
                <w:sz w:val="18"/>
                <w:szCs w:val="18"/>
              </w:rPr>
              <w:t xml:space="preserve">Suite de Leitura Inteligente — Extensões Chrome com OCR e IA</w:t>
            </w:r>
          </w:p>
        </w:tc>
        <w:tc>
          <w:tcPr>
            <w:tcW w:type="dxa" w:w="1200"/>
            <w:tcBorders>
              <w:top w:val="single" w:color="C5D0E0" w:sz="1"/>
              <w:left w:val="single" w:color="C5D0E0" w:sz="1"/>
              <w:bottom w:val="single" w:color="C5D0E0" w:sz="1"/>
              <w:right w:val="single" w:color="C5D0E0"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555555"/>
                <w:sz w:val="17"/>
                <w:szCs w:val="17"/>
              </w:rPr>
              <w:t xml:space="preserve">JavaScript</w:t>
            </w:r>
          </w:p>
        </w:tc>
        <w:tc>
          <w:tcPr>
            <w:tcW w:type="dxa" w:w="1200"/>
            <w:tcBorders>
              <w:top w:val="single" w:color="C5D0E0" w:sz="1"/>
              <w:left w:val="single" w:color="C5D0E0" w:sz="1"/>
              <w:bottom w:val="single" w:color="C5D0E0" w:sz="1"/>
              <w:right w:val="single" w:color="C5D0E0"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777777"/>
                <w:sz w:val="17"/>
                <w:szCs w:val="17"/>
              </w:rPr>
              <w:t xml:space="preserve">4 módulos</w:t>
            </w:r>
          </w:p>
        </w:tc>
        <w:tc>
          <w:tcPr>
            <w:tcW w:type="dxa" w:w="1960"/>
            <w:tcBorders>
              <w:top w:val="single" w:color="C5D0E0" w:sz="1"/>
              <w:left w:val="single" w:color="C5D0E0" w:sz="1"/>
              <w:bottom w:val="single" w:color="C5D0E0" w:sz="1"/>
              <w:right w:val="single" w:color="C5D0E0" w:sz="1"/>
            </w:tcBorders>
            <w:shd w:fill="E8F5E9" w:val="clear"/>
            <w:tcMar>
              <w:top w:type="dxa" w:w="80"/>
              <w:left w:type="dxa" w:w="160"/>
              <w:bottom w:type="dxa" w:w="80"/>
              <w:right w:type="dxa" w:w="160"/>
            </w:tcMar>
            <w:vAlign w:val="center"/>
          </w:tcPr>
          <w:p>
            <w:pPr>
              <w:spacing w:after="0" w:before="0"/>
              <w:jc w:val="center"/>
            </w:pPr>
            <w:r>
              <w:rPr>
                <w:rFonts w:ascii="Arial" w:cs="Arial" w:eastAsia="Arial" w:hAnsi="Arial"/>
                <w:b/>
                <w:bCs/>
                <w:i w:val="false"/>
                <w:iCs w:val="false"/>
                <w:color w:val="1B5E20"/>
                <w:sz w:val="18"/>
                <w:szCs w:val="18"/>
              </w:rPr>
              <w:t xml:space="preserve">R$ 40.000 – R$ 80.000</w:t>
            </w:r>
          </w:p>
        </w:tc>
      </w:tr>
      <w:tr>
        <w:tc>
          <w:tcPr>
            <w:tcW w:type="dxa" w:w="22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000000"/>
                <w:sz w:val="20"/>
                <w:szCs w:val="20"/>
              </w:rPr>
              <w:t xml:space="preserve">DistribuidorAtividades</w:t>
            </w:r>
          </w:p>
        </w:tc>
        <w:tc>
          <w:tcPr>
            <w:tcW w:type="dxa" w:w="28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444444"/>
                <w:sz w:val="18"/>
                <w:szCs w:val="18"/>
              </w:rPr>
              <w:t xml:space="preserve">Plataforma de Gestão e Distribuição de Tarefas — Kanban Jurídico</w:t>
            </w:r>
          </w:p>
        </w:tc>
        <w:tc>
          <w:tcPr>
            <w:tcW w:type="dxa" w:w="12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555555"/>
                <w:sz w:val="17"/>
                <w:szCs w:val="17"/>
              </w:rPr>
              <w:t xml:space="preserve">Python</w:t>
            </w:r>
          </w:p>
        </w:tc>
        <w:tc>
          <w:tcPr>
            <w:tcW w:type="dxa" w:w="12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777777"/>
                <w:sz w:val="17"/>
                <w:szCs w:val="17"/>
              </w:rPr>
              <w:t xml:space="preserve">5 módulos</w:t>
            </w:r>
          </w:p>
        </w:tc>
        <w:tc>
          <w:tcPr>
            <w:tcW w:type="dxa" w:w="1960"/>
            <w:tcBorders>
              <w:top w:val="single" w:color="C5D0E0" w:sz="1"/>
              <w:left w:val="single" w:color="C5D0E0" w:sz="1"/>
              <w:bottom w:val="single" w:color="C5D0E0" w:sz="1"/>
              <w:right w:val="single" w:color="C5D0E0" w:sz="1"/>
            </w:tcBorders>
            <w:shd w:fill="E8F5E9" w:val="clear"/>
            <w:tcMar>
              <w:top w:type="dxa" w:w="80"/>
              <w:left w:type="dxa" w:w="160"/>
              <w:bottom w:type="dxa" w:w="80"/>
              <w:right w:type="dxa" w:w="160"/>
            </w:tcMar>
            <w:vAlign w:val="center"/>
          </w:tcPr>
          <w:p>
            <w:pPr>
              <w:spacing w:after="0" w:before="0"/>
              <w:jc w:val="center"/>
            </w:pPr>
            <w:r>
              <w:rPr>
                <w:rFonts w:ascii="Arial" w:cs="Arial" w:eastAsia="Arial" w:hAnsi="Arial"/>
                <w:b/>
                <w:bCs/>
                <w:i w:val="false"/>
                <w:iCs w:val="false"/>
                <w:color w:val="1B5E20"/>
                <w:sz w:val="18"/>
                <w:szCs w:val="18"/>
              </w:rPr>
              <w:t xml:space="preserve">R$ 25.000 – R$ 45.000</w:t>
            </w:r>
          </w:p>
        </w:tc>
      </w:tr>
      <w:tr>
        <w:tc>
          <w:tcPr>
            <w:tcW w:type="dxa" w:w="2200"/>
            <w:tcBorders>
              <w:top w:val="single" w:color="C5D0E0" w:sz="1"/>
              <w:left w:val="single" w:color="C5D0E0" w:sz="1"/>
              <w:bottom w:val="single" w:color="C5D0E0" w:sz="1"/>
              <w:right w:val="single" w:color="C5D0E0"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000000"/>
                <w:sz w:val="20"/>
                <w:szCs w:val="20"/>
              </w:rPr>
              <w:t xml:space="preserve">VerificacaoCadastro</w:t>
            </w:r>
          </w:p>
        </w:tc>
        <w:tc>
          <w:tcPr>
            <w:tcW w:type="dxa" w:w="2800"/>
            <w:tcBorders>
              <w:top w:val="single" w:color="C5D0E0" w:sz="1"/>
              <w:left w:val="single" w:color="C5D0E0" w:sz="1"/>
              <w:bottom w:val="single" w:color="C5D0E0" w:sz="1"/>
              <w:right w:val="single" w:color="C5D0E0"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444444"/>
                <w:sz w:val="18"/>
                <w:szCs w:val="18"/>
              </w:rPr>
              <w:t xml:space="preserve">Auditoria Automatizada de Cadastros em Sistemas Jurídicos Externos</w:t>
            </w:r>
          </w:p>
        </w:tc>
        <w:tc>
          <w:tcPr>
            <w:tcW w:type="dxa" w:w="1200"/>
            <w:tcBorders>
              <w:top w:val="single" w:color="C5D0E0" w:sz="1"/>
              <w:left w:val="single" w:color="C5D0E0" w:sz="1"/>
              <w:bottom w:val="single" w:color="C5D0E0" w:sz="1"/>
              <w:right w:val="single" w:color="C5D0E0"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555555"/>
                <w:sz w:val="17"/>
                <w:szCs w:val="17"/>
              </w:rPr>
              <w:t xml:space="preserve">Python</w:t>
            </w:r>
          </w:p>
        </w:tc>
        <w:tc>
          <w:tcPr>
            <w:tcW w:type="dxa" w:w="1200"/>
            <w:tcBorders>
              <w:top w:val="single" w:color="C5D0E0" w:sz="1"/>
              <w:left w:val="single" w:color="C5D0E0" w:sz="1"/>
              <w:bottom w:val="single" w:color="C5D0E0" w:sz="1"/>
              <w:right w:val="single" w:color="C5D0E0"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777777"/>
                <w:sz w:val="17"/>
                <w:szCs w:val="17"/>
              </w:rPr>
              <w:t xml:space="preserve">6 módulos</w:t>
            </w:r>
          </w:p>
        </w:tc>
        <w:tc>
          <w:tcPr>
            <w:tcW w:type="dxa" w:w="1960"/>
            <w:tcBorders>
              <w:top w:val="single" w:color="C5D0E0" w:sz="1"/>
              <w:left w:val="single" w:color="C5D0E0" w:sz="1"/>
              <w:bottom w:val="single" w:color="C5D0E0" w:sz="1"/>
              <w:right w:val="single" w:color="C5D0E0" w:sz="1"/>
            </w:tcBorders>
            <w:shd w:fill="E8F5E9" w:val="clear"/>
            <w:tcMar>
              <w:top w:type="dxa" w:w="80"/>
              <w:left w:type="dxa" w:w="160"/>
              <w:bottom w:type="dxa" w:w="80"/>
              <w:right w:type="dxa" w:w="160"/>
            </w:tcMar>
            <w:vAlign w:val="center"/>
          </w:tcPr>
          <w:p>
            <w:pPr>
              <w:spacing w:after="0" w:before="0"/>
              <w:jc w:val="center"/>
            </w:pPr>
            <w:r>
              <w:rPr>
                <w:rFonts w:ascii="Arial" w:cs="Arial" w:eastAsia="Arial" w:hAnsi="Arial"/>
                <w:b/>
                <w:bCs/>
                <w:i w:val="false"/>
                <w:iCs w:val="false"/>
                <w:color w:val="1B5E20"/>
                <w:sz w:val="18"/>
                <w:szCs w:val="18"/>
              </w:rPr>
              <w:t xml:space="preserve">R$ 18.000 – R$ 30.000</w:t>
            </w:r>
          </w:p>
        </w:tc>
      </w:tr>
      <w:tr>
        <w:tc>
          <w:tcPr>
            <w:tcW w:type="dxa" w:w="22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000000"/>
                <w:sz w:val="20"/>
                <w:szCs w:val="20"/>
              </w:rPr>
              <w:t xml:space="preserve">cadastro_anima_civel</w:t>
            </w:r>
          </w:p>
        </w:tc>
        <w:tc>
          <w:tcPr>
            <w:tcW w:type="dxa" w:w="28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444444"/>
                <w:sz w:val="18"/>
                <w:szCs w:val="18"/>
              </w:rPr>
              <w:t xml:space="preserve">RPA de Cadastro em Massa — Processos Cíveis no eLaw (Ânima)</w:t>
            </w:r>
          </w:p>
        </w:tc>
        <w:tc>
          <w:tcPr>
            <w:tcW w:type="dxa" w:w="12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555555"/>
                <w:sz w:val="17"/>
                <w:szCs w:val="17"/>
              </w:rPr>
              <w:t xml:space="preserve">Python</w:t>
            </w:r>
          </w:p>
        </w:tc>
        <w:tc>
          <w:tcPr>
            <w:tcW w:type="dxa" w:w="12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777777"/>
                <w:sz w:val="17"/>
                <w:szCs w:val="17"/>
              </w:rPr>
              <w:t xml:space="preserve">7 módulos</w:t>
            </w:r>
          </w:p>
        </w:tc>
        <w:tc>
          <w:tcPr>
            <w:tcW w:type="dxa" w:w="1960"/>
            <w:tcBorders>
              <w:top w:val="single" w:color="C5D0E0" w:sz="1"/>
              <w:left w:val="single" w:color="C5D0E0" w:sz="1"/>
              <w:bottom w:val="single" w:color="C5D0E0" w:sz="1"/>
              <w:right w:val="single" w:color="C5D0E0" w:sz="1"/>
            </w:tcBorders>
            <w:shd w:fill="E8F5E9" w:val="clear"/>
            <w:tcMar>
              <w:top w:type="dxa" w:w="80"/>
              <w:left w:type="dxa" w:w="160"/>
              <w:bottom w:type="dxa" w:w="80"/>
              <w:right w:type="dxa" w:w="160"/>
            </w:tcMar>
            <w:vAlign w:val="center"/>
          </w:tcPr>
          <w:p>
            <w:pPr>
              <w:spacing w:after="0" w:before="0"/>
              <w:jc w:val="center"/>
            </w:pPr>
            <w:r>
              <w:rPr>
                <w:rFonts w:ascii="Arial" w:cs="Arial" w:eastAsia="Arial" w:hAnsi="Arial"/>
                <w:b/>
                <w:bCs/>
                <w:i w:val="false"/>
                <w:iCs w:val="false"/>
                <w:color w:val="1B5E20"/>
                <w:sz w:val="18"/>
                <w:szCs w:val="18"/>
              </w:rPr>
              <w:t xml:space="preserve">R$ 15.000 – R$ 25.000</w:t>
            </w:r>
          </w:p>
        </w:tc>
      </w:tr>
      <w:tr>
        <w:tc>
          <w:tcPr>
            <w:tcW w:type="dxa" w:w="2200"/>
            <w:tcBorders>
              <w:top w:val="single" w:color="C5D0E0" w:sz="1"/>
              <w:left w:val="single" w:color="C5D0E0" w:sz="1"/>
              <w:bottom w:val="single" w:color="C5D0E0" w:sz="1"/>
              <w:right w:val="single" w:color="C5D0E0"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000000"/>
                <w:sz w:val="20"/>
                <w:szCs w:val="20"/>
              </w:rPr>
              <w:t xml:space="preserve">cadastro_procon_anima</w:t>
            </w:r>
          </w:p>
        </w:tc>
        <w:tc>
          <w:tcPr>
            <w:tcW w:type="dxa" w:w="2800"/>
            <w:tcBorders>
              <w:top w:val="single" w:color="C5D0E0" w:sz="1"/>
              <w:left w:val="single" w:color="C5D0E0" w:sz="1"/>
              <w:bottom w:val="single" w:color="C5D0E0" w:sz="1"/>
              <w:right w:val="single" w:color="C5D0E0"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444444"/>
                <w:sz w:val="18"/>
                <w:szCs w:val="18"/>
              </w:rPr>
              <w:t xml:space="preserve">RPA de Cadastro PROCON — Processos Administrativos (Ânima)</w:t>
            </w:r>
          </w:p>
        </w:tc>
        <w:tc>
          <w:tcPr>
            <w:tcW w:type="dxa" w:w="1200"/>
            <w:tcBorders>
              <w:top w:val="single" w:color="C5D0E0" w:sz="1"/>
              <w:left w:val="single" w:color="C5D0E0" w:sz="1"/>
              <w:bottom w:val="single" w:color="C5D0E0" w:sz="1"/>
              <w:right w:val="single" w:color="C5D0E0"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555555"/>
                <w:sz w:val="17"/>
                <w:szCs w:val="17"/>
              </w:rPr>
              <w:t xml:space="preserve">Python</w:t>
            </w:r>
          </w:p>
        </w:tc>
        <w:tc>
          <w:tcPr>
            <w:tcW w:type="dxa" w:w="1200"/>
            <w:tcBorders>
              <w:top w:val="single" w:color="C5D0E0" w:sz="1"/>
              <w:left w:val="single" w:color="C5D0E0" w:sz="1"/>
              <w:bottom w:val="single" w:color="C5D0E0" w:sz="1"/>
              <w:right w:val="single" w:color="C5D0E0"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777777"/>
                <w:sz w:val="17"/>
                <w:szCs w:val="17"/>
              </w:rPr>
              <w:t xml:space="preserve">8 módulos</w:t>
            </w:r>
          </w:p>
        </w:tc>
        <w:tc>
          <w:tcPr>
            <w:tcW w:type="dxa" w:w="1960"/>
            <w:tcBorders>
              <w:top w:val="single" w:color="C5D0E0" w:sz="1"/>
              <w:left w:val="single" w:color="C5D0E0" w:sz="1"/>
              <w:bottom w:val="single" w:color="C5D0E0" w:sz="1"/>
              <w:right w:val="single" w:color="C5D0E0" w:sz="1"/>
            </w:tcBorders>
            <w:shd w:fill="E8F5E9" w:val="clear"/>
            <w:tcMar>
              <w:top w:type="dxa" w:w="80"/>
              <w:left w:type="dxa" w:w="160"/>
              <w:bottom w:type="dxa" w:w="80"/>
              <w:right w:type="dxa" w:w="160"/>
            </w:tcMar>
            <w:vAlign w:val="center"/>
          </w:tcPr>
          <w:p>
            <w:pPr>
              <w:spacing w:after="0" w:before="0"/>
              <w:jc w:val="center"/>
            </w:pPr>
            <w:r>
              <w:rPr>
                <w:rFonts w:ascii="Arial" w:cs="Arial" w:eastAsia="Arial" w:hAnsi="Arial"/>
                <w:b/>
                <w:bCs/>
                <w:i w:val="false"/>
                <w:iCs w:val="false"/>
                <w:color w:val="1B5E20"/>
                <w:sz w:val="18"/>
                <w:szCs w:val="18"/>
              </w:rPr>
              <w:t xml:space="preserve">R$ 12.000 – R$ 20.000</w:t>
            </w:r>
          </w:p>
        </w:tc>
      </w:tr>
      <w:tr>
        <w:tc>
          <w:tcPr>
            <w:tcW w:type="dxa" w:w="22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000000"/>
                <w:sz w:val="20"/>
                <w:szCs w:val="20"/>
              </w:rPr>
              <w:t xml:space="preserve">cadastro_procon_nubank</w:t>
            </w:r>
          </w:p>
        </w:tc>
        <w:tc>
          <w:tcPr>
            <w:tcW w:type="dxa" w:w="28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444444"/>
                <w:sz w:val="18"/>
                <w:szCs w:val="18"/>
              </w:rPr>
              <w:t xml:space="preserve">RPA de Cadastro PROCON — Alta Performance (Nubank)</w:t>
            </w:r>
          </w:p>
        </w:tc>
        <w:tc>
          <w:tcPr>
            <w:tcW w:type="dxa" w:w="12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555555"/>
                <w:sz w:val="17"/>
                <w:szCs w:val="17"/>
              </w:rPr>
              <w:t xml:space="preserve">Python</w:t>
            </w:r>
          </w:p>
        </w:tc>
        <w:tc>
          <w:tcPr>
            <w:tcW w:type="dxa" w:w="12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777777"/>
                <w:sz w:val="17"/>
                <w:szCs w:val="17"/>
              </w:rPr>
              <w:t xml:space="preserve">9 módulos</w:t>
            </w:r>
          </w:p>
        </w:tc>
        <w:tc>
          <w:tcPr>
            <w:tcW w:type="dxa" w:w="1960"/>
            <w:tcBorders>
              <w:top w:val="single" w:color="C5D0E0" w:sz="1"/>
              <w:left w:val="single" w:color="C5D0E0" w:sz="1"/>
              <w:bottom w:val="single" w:color="C5D0E0" w:sz="1"/>
              <w:right w:val="single" w:color="C5D0E0" w:sz="1"/>
            </w:tcBorders>
            <w:shd w:fill="E8F5E9" w:val="clear"/>
            <w:tcMar>
              <w:top w:type="dxa" w:w="80"/>
              <w:left w:type="dxa" w:w="160"/>
              <w:bottom w:type="dxa" w:w="80"/>
              <w:right w:type="dxa" w:w="160"/>
            </w:tcMar>
            <w:vAlign w:val="center"/>
          </w:tcPr>
          <w:p>
            <w:pPr>
              <w:spacing w:after="0" w:before="0"/>
              <w:jc w:val="center"/>
            </w:pPr>
            <w:r>
              <w:rPr>
                <w:rFonts w:ascii="Arial" w:cs="Arial" w:eastAsia="Arial" w:hAnsi="Arial"/>
                <w:b/>
                <w:bCs/>
                <w:i w:val="false"/>
                <w:iCs w:val="false"/>
                <w:color w:val="1B5E20"/>
                <w:sz w:val="18"/>
                <w:szCs w:val="18"/>
              </w:rPr>
              <w:t xml:space="preserve">R$ 15.000 – R$ 25.000</w:t>
            </w:r>
          </w:p>
        </w:tc>
      </w:tr>
      <w:tr>
        <w:tc>
          <w:tcPr>
            <w:tcW w:type="dxa" w:w="2200"/>
            <w:tcBorders>
              <w:top w:val="single" w:color="C5D0E0" w:sz="1"/>
              <w:left w:val="single" w:color="C5D0E0" w:sz="1"/>
              <w:bottom w:val="single" w:color="C5D0E0" w:sz="1"/>
              <w:right w:val="single" w:color="C5D0E0"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000000"/>
                <w:sz w:val="20"/>
                <w:szCs w:val="20"/>
              </w:rPr>
              <w:t xml:space="preserve">cadastro_procon_pandora</w:t>
            </w:r>
          </w:p>
        </w:tc>
        <w:tc>
          <w:tcPr>
            <w:tcW w:type="dxa" w:w="2800"/>
            <w:tcBorders>
              <w:top w:val="single" w:color="C5D0E0" w:sz="1"/>
              <w:left w:val="single" w:color="C5D0E0" w:sz="1"/>
              <w:bottom w:val="single" w:color="C5D0E0" w:sz="1"/>
              <w:right w:val="single" w:color="C5D0E0"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444444"/>
                <w:sz w:val="18"/>
                <w:szCs w:val="18"/>
              </w:rPr>
              <w:t xml:space="preserve">RPA de Cadastro PROCON — Dual Mode com Revisão (Pandora)</w:t>
            </w:r>
          </w:p>
        </w:tc>
        <w:tc>
          <w:tcPr>
            <w:tcW w:type="dxa" w:w="1200"/>
            <w:tcBorders>
              <w:top w:val="single" w:color="C5D0E0" w:sz="1"/>
              <w:left w:val="single" w:color="C5D0E0" w:sz="1"/>
              <w:bottom w:val="single" w:color="C5D0E0" w:sz="1"/>
              <w:right w:val="single" w:color="C5D0E0"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555555"/>
                <w:sz w:val="17"/>
                <w:szCs w:val="17"/>
              </w:rPr>
              <w:t xml:space="preserve">Python</w:t>
            </w:r>
          </w:p>
        </w:tc>
        <w:tc>
          <w:tcPr>
            <w:tcW w:type="dxa" w:w="1200"/>
            <w:tcBorders>
              <w:top w:val="single" w:color="C5D0E0" w:sz="1"/>
              <w:left w:val="single" w:color="C5D0E0" w:sz="1"/>
              <w:bottom w:val="single" w:color="C5D0E0" w:sz="1"/>
              <w:right w:val="single" w:color="C5D0E0"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777777"/>
                <w:sz w:val="17"/>
                <w:szCs w:val="17"/>
              </w:rPr>
              <w:t xml:space="preserve">10 módulos</w:t>
            </w:r>
          </w:p>
        </w:tc>
        <w:tc>
          <w:tcPr>
            <w:tcW w:type="dxa" w:w="1960"/>
            <w:tcBorders>
              <w:top w:val="single" w:color="C5D0E0" w:sz="1"/>
              <w:left w:val="single" w:color="C5D0E0" w:sz="1"/>
              <w:bottom w:val="single" w:color="C5D0E0" w:sz="1"/>
              <w:right w:val="single" w:color="C5D0E0" w:sz="1"/>
            </w:tcBorders>
            <w:shd w:fill="E8F5E9" w:val="clear"/>
            <w:tcMar>
              <w:top w:type="dxa" w:w="80"/>
              <w:left w:type="dxa" w:w="160"/>
              <w:bottom w:type="dxa" w:w="80"/>
              <w:right w:type="dxa" w:w="160"/>
            </w:tcMar>
            <w:vAlign w:val="center"/>
          </w:tcPr>
          <w:p>
            <w:pPr>
              <w:spacing w:after="0" w:before="0"/>
              <w:jc w:val="center"/>
            </w:pPr>
            <w:r>
              <w:rPr>
                <w:rFonts w:ascii="Arial" w:cs="Arial" w:eastAsia="Arial" w:hAnsi="Arial"/>
                <w:b/>
                <w:bCs/>
                <w:i w:val="false"/>
                <w:iCs w:val="false"/>
                <w:color w:val="1B5E20"/>
                <w:sz w:val="18"/>
                <w:szCs w:val="18"/>
              </w:rPr>
              <w:t xml:space="preserve">R$ 15.000 – R$ 25.000</w:t>
            </w:r>
          </w:p>
        </w:tc>
      </w:tr>
      <w:tr>
        <w:tc>
          <w:tcPr>
            <w:tcW w:type="dxa" w:w="22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000000"/>
                <w:sz w:val="20"/>
                <w:szCs w:val="20"/>
              </w:rPr>
              <w:t xml:space="preserve">ComplementoCadastro</w:t>
            </w:r>
          </w:p>
        </w:tc>
        <w:tc>
          <w:tcPr>
            <w:tcW w:type="dxa" w:w="28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444444"/>
                <w:sz w:val="18"/>
                <w:szCs w:val="18"/>
              </w:rPr>
              <w:t xml:space="preserve">Utilitário de Complementação de Dados em Cadastros Existentes</w:t>
            </w:r>
          </w:p>
        </w:tc>
        <w:tc>
          <w:tcPr>
            <w:tcW w:type="dxa" w:w="12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555555"/>
                <w:sz w:val="17"/>
                <w:szCs w:val="17"/>
              </w:rPr>
              <w:t xml:space="preserve">Python</w:t>
            </w:r>
          </w:p>
        </w:tc>
        <w:tc>
          <w:tcPr>
            <w:tcW w:type="dxa" w:w="1200"/>
            <w:tcBorders>
              <w:top w:val="single" w:color="C5D0E0" w:sz="1"/>
              <w:left w:val="single" w:color="C5D0E0" w:sz="1"/>
              <w:bottom w:val="single" w:color="C5D0E0" w:sz="1"/>
              <w:right w:val="single" w:color="C5D0E0" w:sz="1"/>
            </w:tcBorders>
            <w:shd w:fill="D9E2F3" w:val="clear"/>
            <w:tcMar>
              <w:top w:type="dxa" w:w="80"/>
              <w:left w:type="dxa" w:w="160"/>
              <w:bottom w:type="dxa" w:w="80"/>
              <w:right w:type="dxa" w:w="160"/>
            </w:tcMar>
            <w:vAlign w:val="center"/>
          </w:tcPr>
          <w:p>
            <w:pPr>
              <w:spacing w:after="0" w:before="0"/>
              <w:jc w:val="left"/>
            </w:pPr>
            <w:r>
              <w:rPr>
                <w:rFonts w:ascii="Arial" w:cs="Arial" w:eastAsia="Arial" w:hAnsi="Arial"/>
                <w:b w:val="false"/>
                <w:bCs w:val="false"/>
                <w:i w:val="false"/>
                <w:iCs w:val="false"/>
                <w:color w:val="777777"/>
                <w:sz w:val="17"/>
                <w:szCs w:val="17"/>
              </w:rPr>
              <w:t xml:space="preserve">11 módulos</w:t>
            </w:r>
          </w:p>
        </w:tc>
        <w:tc>
          <w:tcPr>
            <w:tcW w:type="dxa" w:w="1960"/>
            <w:tcBorders>
              <w:top w:val="single" w:color="C5D0E0" w:sz="1"/>
              <w:left w:val="single" w:color="C5D0E0" w:sz="1"/>
              <w:bottom w:val="single" w:color="C5D0E0" w:sz="1"/>
              <w:right w:val="single" w:color="C5D0E0" w:sz="1"/>
            </w:tcBorders>
            <w:shd w:fill="E8F5E9" w:val="clear"/>
            <w:tcMar>
              <w:top w:type="dxa" w:w="80"/>
              <w:left w:type="dxa" w:w="160"/>
              <w:bottom w:type="dxa" w:w="80"/>
              <w:right w:type="dxa" w:w="160"/>
            </w:tcMar>
            <w:vAlign w:val="center"/>
          </w:tcPr>
          <w:p>
            <w:pPr>
              <w:spacing w:after="0" w:before="0"/>
              <w:jc w:val="center"/>
            </w:pPr>
            <w:r>
              <w:rPr>
                <w:rFonts w:ascii="Arial" w:cs="Arial" w:eastAsia="Arial" w:hAnsi="Arial"/>
                <w:b/>
                <w:bCs/>
                <w:i w:val="false"/>
                <w:iCs w:val="false"/>
                <w:color w:val="1B5E20"/>
                <w:sz w:val="18"/>
                <w:szCs w:val="18"/>
              </w:rPr>
              <w:t xml:space="preserve">R$ 8.000 – R$ 12.000</w:t>
            </w:r>
          </w:p>
        </w:tc>
      </w:tr>
    </w:tbl>
    <w:p>
      <w:pPr>
        <w:spacing w:after="0" w:before="140"/>
      </w:pPr>
      <w:r>
        <w:rPr>
          <w:rFonts w:ascii="Arial" w:cs="Arial" w:eastAsia="Arial" w:hAnsi="Arial"/>
          <w:b w:val="false"/>
          <w:bCs w:val="false"/>
          <w:i w:val="false"/>
          <w:iCs w:val="false"/>
          <w:color w:val="222222"/>
          <w:sz w:val="22"/>
          <w:szCs w:val="22"/>
        </w:rPr>
        <w:t xml:space="preserve"/>
      </w:r>
    </w:p>
    <w:p>
      <w:pPr>
        <w:spacing w:after="80" w:before="80"/>
        <w:jc w:val="right"/>
      </w:pPr>
      <w:r>
        <w:rPr>
          <w:rFonts w:ascii="Arial" w:cs="Arial" w:eastAsia="Arial" w:hAnsi="Arial"/>
          <w:b/>
          <w:bCs/>
          <w:color w:val="1B5E20"/>
          <w:sz w:val="24"/>
          <w:szCs w:val="24"/>
        </w:rPr>
        <w:t xml:space="preserve">Valor total estimado do portfólio:  R$ 313.000 – R$ 572.000</w:t>
      </w:r>
    </w:p>
    <w:p>
      <w:pPr>
        <w:spacing w:after="0" w:before="260"/>
      </w:pPr>
      <w:r>
        <w:rPr>
          <w:rFonts w:ascii="Arial" w:cs="Arial" w:eastAsia="Arial" w:hAnsi="Arial"/>
          <w:b w:val="false"/>
          <w:bCs w:val="false"/>
          <w:i w:val="false"/>
          <w:iCs w:val="false"/>
          <w:color w:val="222222"/>
          <w:sz w:val="22"/>
          <w:szCs w:val="22"/>
        </w:rPr>
        <w:t xml:space="preserve"/>
      </w:r>
    </w:p>
    <w:p>
      <w:pPr>
        <w:pBdr>
          <w:bottom w:val="single" w:color="1F3864" w:sz="8" w:space="4"/>
        </w:pBdr>
        <w:spacing w:after="120" w:before="280"/>
      </w:pPr>
      <w:r>
        <w:rPr>
          <w:rFonts w:ascii="Arial" w:cs="Arial" w:eastAsia="Arial" w:hAnsi="Arial"/>
          <w:b/>
          <w:bCs/>
          <w:color w:val="1F3864"/>
          <w:sz w:val="32"/>
          <w:szCs w:val="32"/>
        </w:rPr>
        <w:t xml:space="preserve">Análise Detalhada por Projeto</w:t>
      </w:r>
    </w:p>
    <w:p>
      <w:pPr>
        <w:spacing w:after="0" w:before="140"/>
      </w:pPr>
      <w:r>
        <w:rPr>
          <w:rFonts w:ascii="Arial" w:cs="Arial" w:eastAsia="Arial" w:hAnsi="Arial"/>
          <w:b w:val="false"/>
          <w:bCs w:val="false"/>
          <w:i w:val="false"/>
          <w:iCs w:val="false"/>
          <w:color w:val="222222"/>
          <w:sz w:val="22"/>
          <w:szCs w:val="22"/>
        </w:rPr>
        <w:t xml:space="preserve"/>
      </w:r>
    </w:p>
    <w:p>
      <w:pPr>
        <w:spacing w:after="80" w:before="200"/>
      </w:pPr>
      <w:r>
        <w:rPr>
          <w:rFonts w:ascii="Arial" w:cs="Arial" w:eastAsia="Arial" w:hAnsi="Arial"/>
          <w:b/>
          <w:bCs/>
          <w:color w:val="999999"/>
          <w:sz w:val="26"/>
          <w:szCs w:val="26"/>
        </w:rPr>
        <w:t xml:space="preserve">01.  </w:t>
      </w:r>
      <w:r>
        <w:rPr>
          <w:rFonts w:ascii="Arial" w:cs="Arial" w:eastAsia="Arial" w:hAnsi="Arial"/>
          <w:b/>
          <w:bCs/>
          <w:color w:val="2E5090"/>
          <w:sz w:val="26"/>
          <w:szCs w:val="26"/>
        </w:rPr>
        <w:t xml:space="preserve">rpa-elaw-anima-master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RPA de Complemento de Cadastro Judicial — eLaw Ânima</w:t>
            </w:r>
          </w:p>
        </w:tc>
        <w:tc>
          <w:tcPr>
            <w:tcW w:type="dxa" w:w="7660"/>
            <w:tcBorders>
              <w:top w:val="single" w:color="C5D0E0" w:sz="1"/>
              <w:left w:val="single" w:color="C5D0E0" w:sz="1"/>
              <w:bottom w:val="single" w:color="C5D0E0" w:sz="1"/>
              <w:right w:val="single" w:color="C5D0E0" w:sz="1"/>
            </w:tcBorders>
            <w:shd w:fill="D9E2F3" w:val="clear"/>
            <w:tcMar>
              <w:top w:type="dxa" w:w="100"/>
              <w:left w:type="dxa" w:w="160"/>
              <w:bottom w:type="dxa" w:w="100"/>
              <w:right w:type="dxa" w:w="160"/>
            </w:tcMar>
          </w:tcPr>
          <w:p>
            <w:pPr>
              <w:spacing w:after="0" w:before="0"/>
            </w:pPr>
            <w:r>
              <w:rPr>
                <w:rFonts w:ascii="Arial" w:cs="Arial" w:eastAsia="Arial" w:hAnsi="Arial"/>
                <w:color w:val="2E5090"/>
                <w:sz w:val="19"/>
                <w:szCs w:val="19"/>
              </w:rPr>
              <w:t xml:space="preserve"/>
            </w:r>
          </w:p>
        </w:tc>
      </w:tr>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Aplicação Comercial</w:t>
            </w:r>
          </w:p>
        </w:tc>
        <w:tc>
          <w:tcPr>
            <w:tcW w:type="dxa" w:w="7660"/>
            <w:tcBorders>
              <w:top w:val="single" w:color="C5D0E0" w:sz="1"/>
              <w:left w:val="single" w:color="C5D0E0" w:sz="1"/>
              <w:bottom w:val="single" w:color="C5D0E0" w:sz="1"/>
              <w:right w:val="single" w:color="C5D0E0" w:sz="1"/>
            </w:tcBorders>
            <w:shd w:fill="FFFFFF"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O escritório recebia diariamente centenas de processos da Ânima Educação que precisavam ter seus dados complementados manualmente no sistema eLaw: tipo de ação, procedimento, fase processual, pedidos, valor da causa, prazo para defesa e subsídios. Cada processo exigia login no sistema, localização do caso, abertura do formulário e preenchimento de múltiplos campos — trabalho que consumia horas de equipe jurídica especializada.
Esta ferramenta automatiza completamente esse fluxo. O colaborador apenas sobe a planilha com os dados, informa a pasta de PDFs e clica em executar. O robô faz login, localiza cada processo, preenche todos os campos e anexa os documentos automaticamente, reportando sucesso, erro ou skip em tempo real num dashboard com KPIs e log ao vivo. Ao final, gera relatório CSV para controle.</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Impacto</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Redução de ~4 horas/dia de trabalho manual. Capacidade de processar 150+ casos por execução sem intervenção humana.</w:t>
            </w:r>
          </w:p>
        </w:tc>
      </w:tr>
      <w:tr>
        <w:tc>
          <w:tcPr>
            <w:tcW w:type="dxa" w:w="1700"/>
            <w:tcBorders>
              <w:top w:val="single" w:color="C5D0E0" w:sz="1"/>
              <w:left w:val="single" w:color="C5D0E0" w:sz="1"/>
              <w:bottom w:val="single" w:color="C5D0E0" w:sz="1"/>
              <w:right w:val="single" w:color="C5D0E0" w:sz="1"/>
            </w:tcBorders>
            <w:shd w:fill="44444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Stack</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555555"/>
                <w:sz w:val="19"/>
                <w:szCs w:val="19"/>
              </w:rPr>
              <w:t xml:space="preserve">Python, FastAPI, Playwright, HTML/JS, Docker, Render.com</w:t>
            </w:r>
          </w:p>
        </w:tc>
      </w:tr>
      <w:tr>
        <w:tc>
          <w:tcPr>
            <w:tcW w:type="dxa" w:w="1700"/>
            <w:tcBorders>
              <w:top w:val="single" w:color="C5D0E0" w:sz="1"/>
              <w:left w:val="single" w:color="C5D0E0" w:sz="1"/>
              <w:bottom w:val="single" w:color="C5D0E0" w:sz="1"/>
              <w:right w:val="single" w:color="C5D0E0" w:sz="1"/>
            </w:tcBorders>
            <w:shd w:fill="555555"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Módulos-chave</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666666"/>
                <w:sz w:val="19"/>
                <w:szCs w:val="19"/>
              </w:rPr>
              <w:t xml:space="preserve">rpa_judicial.py · rpa_administrativo.py · rpa_ciencia.py · server.py · index.html</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Valor de Mercado Est.</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1B5E20"/>
                <w:sz w:val="19"/>
                <w:szCs w:val="19"/>
              </w:rPr>
              <w:t xml:space="preserve">R$ 55.000 – R$ 100.000</w:t>
            </w:r>
          </w:p>
        </w:tc>
      </w:tr>
      <w:tr>
        <w:tc>
          <w:tcPr>
            <w:tcW w:type="dxa" w:w="9360"/>
            <w:gridSpan w:val="2"/>
            <w:tcBorders>
              <w:top w:val="none" w:color="FFFFFF" w:sz="0"/>
              <w:left w:val="none" w:color="FFFFFF" w:sz="0"/>
              <w:bottom w:val="none" w:color="FFFFFF" w:sz="0"/>
              <w:right w:val="none" w:color="FFFFFF" w:sz="0"/>
            </w:tcBorders>
            <w:shd w:fill="F2F4FA" w:val="clear"/>
            <w:tcMar>
              <w:top w:type="dxa" w:w="12"/>
              <w:left w:type="dxa" w:w="0"/>
              <w:bottom w:type="dxa" w:w="12"/>
              <w:right w:type="dxa" w:w="0"/>
            </w:tcMar>
          </w:tcPr>
          <w:p>
            <w:pPr>
              <w:spacing w:after="0" w:before="0"/>
              <w:jc w:val="center"/>
            </w:pPr>
            <w:r>
              <w:drawing>
                <wp:inline distT="0" distB="0" distL="0" distR="0">
                  <wp:extent cx="5667375" cy="2514600"/>
                  <wp:effectExtent t="0" r="0" b="0" l="0"/>
                  <wp:docPr id="1" name="mockup" descr="Mockup da interface" title="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514600"/>
                          </a:xfrm>
                          <a:prstGeom prst="rect">
                            <a:avLst/>
                          </a:prstGeom>
                        </pic:spPr>
                      </pic:pic>
                    </a:graphicData>
                  </a:graphic>
                </wp:inline>
              </w:drawing>
            </w:r>
          </w:p>
        </w:tc>
      </w:tr>
    </w:tbl>
    <w:p>
      <w:pPr>
        <w:spacing w:after="0" w:before="140"/>
      </w:pPr>
      <w:r>
        <w:rPr>
          <w:rFonts w:ascii="Arial" w:cs="Arial" w:eastAsia="Arial" w:hAnsi="Arial"/>
          <w:b w:val="false"/>
          <w:bCs w:val="false"/>
          <w:i w:val="false"/>
          <w:iCs w:val="false"/>
          <w:color w:val="222222"/>
          <w:sz w:val="22"/>
          <w:szCs w:val="22"/>
        </w:rPr>
        <w:t xml:space="preserve"/>
      </w:r>
    </w:p>
    <w:p>
      <w:pPr>
        <w:spacing w:after="80" w:before="200"/>
      </w:pPr>
      <w:r>
        <w:rPr>
          <w:rFonts w:ascii="Arial" w:cs="Arial" w:eastAsia="Arial" w:hAnsi="Arial"/>
          <w:b/>
          <w:bCs/>
          <w:color w:val="999999"/>
          <w:sz w:val="26"/>
          <w:szCs w:val="26"/>
        </w:rPr>
        <w:t xml:space="preserve">02.  </w:t>
      </w:r>
      <w:r>
        <w:rPr>
          <w:rFonts w:ascii="Arial" w:cs="Arial" w:eastAsia="Arial" w:hAnsi="Arial"/>
          <w:b/>
          <w:bCs/>
          <w:color w:val="2E5090"/>
          <w:sz w:val="26"/>
          <w:szCs w:val="26"/>
        </w:rPr>
        <w:t xml:space="preserve">rpa-elaw-viseu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RPA de Automação Interna — eLaw Viseu Advogados (4 Módulos)</w:t>
            </w:r>
          </w:p>
        </w:tc>
        <w:tc>
          <w:tcPr>
            <w:tcW w:type="dxa" w:w="7660"/>
            <w:tcBorders>
              <w:top w:val="single" w:color="C5D0E0" w:sz="1"/>
              <w:left w:val="single" w:color="C5D0E0" w:sz="1"/>
              <w:bottom w:val="single" w:color="C5D0E0" w:sz="1"/>
              <w:right w:val="single" w:color="C5D0E0" w:sz="1"/>
            </w:tcBorders>
            <w:shd w:fill="D9E2F3" w:val="clear"/>
            <w:tcMar>
              <w:top w:type="dxa" w:w="100"/>
              <w:left w:type="dxa" w:w="160"/>
              <w:bottom w:type="dxa" w:w="100"/>
              <w:right w:type="dxa" w:w="160"/>
            </w:tcMar>
          </w:tcPr>
          <w:p>
            <w:pPr>
              <w:spacing w:after="0" w:before="0"/>
            </w:pPr>
            <w:r>
              <w:rPr>
                <w:rFonts w:ascii="Arial" w:cs="Arial" w:eastAsia="Arial" w:hAnsi="Arial"/>
                <w:color w:val="2E5090"/>
                <w:sz w:val="19"/>
                <w:szCs w:val="19"/>
              </w:rPr>
              <w:t xml:space="preserve"/>
            </w:r>
          </w:p>
        </w:tc>
      </w:tr>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Aplicação Comercial</w:t>
            </w:r>
          </w:p>
        </w:tc>
        <w:tc>
          <w:tcPr>
            <w:tcW w:type="dxa" w:w="7660"/>
            <w:tcBorders>
              <w:top w:val="single" w:color="C5D0E0" w:sz="1"/>
              <w:left w:val="single" w:color="C5D0E0" w:sz="1"/>
              <w:bottom w:val="single" w:color="C5D0E0" w:sz="1"/>
              <w:right w:val="single" w:color="C5D0E0" w:sz="1"/>
            </w:tcBorders>
            <w:shd w:fill="FFFFFF"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O próprio escritório Viseu utiliza o eLaw para gestão dos seus processos. Tarefas operacionais repetitivas — atualizar a capa do processo, ajustar prazos internos e fatais, registrar pedidos e fazer upload/download de documentos — consumiam tempo de profissionais qualificados.
Esta plataforma automatiza quatro dessas atividades em um único produto. O usuário escolhe o módulo, sobe uma planilha com os IDs dos processos e inicia. O robô acessa o eLaw, localiza cada pasta e executa a ação correspondente com tratamento de erros, log detalhado e relatório XLSX ao final. A arquitetura modular permite adicionar novos módulos sem reescrever o sistema.</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Impacto</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4 atividades automatizadas. Elimina digitação manual em processos repetitivos. Relatório auditável de cada execução.</w:t>
            </w:r>
          </w:p>
        </w:tc>
      </w:tr>
      <w:tr>
        <w:tc>
          <w:tcPr>
            <w:tcW w:type="dxa" w:w="1700"/>
            <w:tcBorders>
              <w:top w:val="single" w:color="C5D0E0" w:sz="1"/>
              <w:left w:val="single" w:color="C5D0E0" w:sz="1"/>
              <w:bottom w:val="single" w:color="C5D0E0" w:sz="1"/>
              <w:right w:val="single" w:color="C5D0E0" w:sz="1"/>
            </w:tcBorders>
            <w:shd w:fill="44444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Stack</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555555"/>
                <w:sz w:val="19"/>
                <w:szCs w:val="19"/>
              </w:rPr>
              <w:t xml:space="preserve">Python, Playwright, FastAPI/PyWebView, openpyxl, Bootstrap, Docker, Render.com</w:t>
            </w:r>
          </w:p>
        </w:tc>
      </w:tr>
      <w:tr>
        <w:tc>
          <w:tcPr>
            <w:tcW w:type="dxa" w:w="1700"/>
            <w:tcBorders>
              <w:top w:val="single" w:color="C5D0E0" w:sz="1"/>
              <w:left w:val="single" w:color="C5D0E0" w:sz="1"/>
              <w:bottom w:val="single" w:color="C5D0E0" w:sz="1"/>
              <w:right w:val="single" w:color="C5D0E0" w:sz="1"/>
            </w:tcBorders>
            <w:shd w:fill="555555"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Módulos-chave</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666666"/>
                <w:sz w:val="19"/>
                <w:szCs w:val="19"/>
              </w:rPr>
              <w:t xml:space="preserve">automation/capa.py · prazos.py · pedidos.py · documentos.py · utils/spreadsheet.py · reporter.py</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Valor de Mercado Est.</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1B5E20"/>
                <w:sz w:val="19"/>
                <w:szCs w:val="19"/>
              </w:rPr>
              <w:t xml:space="preserve">R$ 50.000 – R$ 90.000</w:t>
            </w:r>
          </w:p>
        </w:tc>
      </w:tr>
      <w:tr>
        <w:tc>
          <w:tcPr>
            <w:tcW w:type="dxa" w:w="9360"/>
            <w:gridSpan w:val="2"/>
            <w:tcBorders>
              <w:top w:val="none" w:color="FFFFFF" w:sz="0"/>
              <w:left w:val="none" w:color="FFFFFF" w:sz="0"/>
              <w:bottom w:val="none" w:color="FFFFFF" w:sz="0"/>
              <w:right w:val="none" w:color="FFFFFF" w:sz="0"/>
            </w:tcBorders>
            <w:shd w:fill="F2F4FA" w:val="clear"/>
            <w:tcMar>
              <w:top w:type="dxa" w:w="12"/>
              <w:left w:type="dxa" w:w="0"/>
              <w:bottom w:type="dxa" w:w="12"/>
              <w:right w:type="dxa" w:w="0"/>
            </w:tcMar>
          </w:tcPr>
          <w:p>
            <w:pPr>
              <w:spacing w:after="0" w:before="0"/>
              <w:jc w:val="center"/>
            </w:pPr>
            <w:r>
              <w:drawing>
                <wp:inline distT="0" distB="0" distL="0" distR="0">
                  <wp:extent cx="5667375" cy="2514600"/>
                  <wp:effectExtent t="0" r="0" b="0" l="0"/>
                  <wp:docPr id="1" name="mockup" descr="Mockup da interface" title="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514600"/>
                          </a:xfrm>
                          <a:prstGeom prst="rect">
                            <a:avLst/>
                          </a:prstGeom>
                        </pic:spPr>
                      </pic:pic>
                    </a:graphicData>
                  </a:graphic>
                </wp:inline>
              </w:drawing>
            </w:r>
          </w:p>
        </w:tc>
      </w:tr>
    </w:tbl>
    <w:p>
      <w:pPr>
        <w:spacing w:after="0" w:before="140"/>
      </w:pPr>
      <w:r>
        <w:rPr>
          <w:rFonts w:ascii="Arial" w:cs="Arial" w:eastAsia="Arial" w:hAnsi="Arial"/>
          <w:b w:val="false"/>
          <w:bCs w:val="false"/>
          <w:i w:val="false"/>
          <w:iCs w:val="false"/>
          <w:color w:val="222222"/>
          <w:sz w:val="22"/>
          <w:szCs w:val="22"/>
        </w:rPr>
        <w:t xml:space="preserve"/>
      </w:r>
    </w:p>
    <w:p>
      <w:pPr>
        <w:spacing w:after="80" w:before="200"/>
      </w:pPr>
      <w:r>
        <w:rPr>
          <w:rFonts w:ascii="Arial" w:cs="Arial" w:eastAsia="Arial" w:hAnsi="Arial"/>
          <w:b/>
          <w:bCs/>
          <w:color w:val="999999"/>
          <w:sz w:val="26"/>
          <w:szCs w:val="26"/>
        </w:rPr>
        <w:t xml:space="preserve">03.  </w:t>
      </w:r>
      <w:r>
        <w:rPr>
          <w:rFonts w:ascii="Arial" w:cs="Arial" w:eastAsia="Arial" w:hAnsi="Arial"/>
          <w:b/>
          <w:bCs/>
          <w:color w:val="8B0000"/>
          <w:sz w:val="26"/>
          <w:szCs w:val="26"/>
        </w:rPr>
        <w:t xml:space="preserve">rpa-judicial-viseu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Automação Judicial Multiportal — eProc SP + PJe TJRJ via Chrome CDP</w:t>
            </w:r>
          </w:p>
        </w:tc>
        <w:tc>
          <w:tcPr>
            <w:tcW w:type="dxa" w:w="7660"/>
            <w:tcBorders>
              <w:top w:val="single" w:color="C5D0E0" w:sz="1"/>
              <w:left w:val="single" w:color="C5D0E0" w:sz="1"/>
              <w:bottom w:val="single" w:color="C5D0E0" w:sz="1"/>
              <w:right w:val="single" w:color="C5D0E0" w:sz="1"/>
            </w:tcBorders>
            <w:shd w:fill="D9E2F3" w:val="clear"/>
            <w:tcMar>
              <w:top w:type="dxa" w:w="100"/>
              <w:left w:type="dxa" w:w="160"/>
              <w:bottom w:type="dxa" w:w="100"/>
              <w:right w:type="dxa" w:w="160"/>
            </w:tcMar>
          </w:tcPr>
          <w:p>
            <w:pPr>
              <w:spacing w:after="0" w:before="0"/>
            </w:pPr>
            <w:r>
              <w:rPr>
                <w:rFonts w:ascii="Arial" w:cs="Arial" w:eastAsia="Arial" w:hAnsi="Arial"/>
                <w:color w:val="2E5090"/>
                <w:sz w:val="19"/>
                <w:szCs w:val="19"/>
              </w:rPr>
              <w:t xml:space="preserve"/>
            </w:r>
          </w:p>
        </w:tc>
      </w:tr>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Aplicação Comercial</w:t>
            </w:r>
          </w:p>
        </w:tc>
        <w:tc>
          <w:tcPr>
            <w:tcW w:type="dxa" w:w="7660"/>
            <w:tcBorders>
              <w:top w:val="single" w:color="C5D0E0" w:sz="1"/>
              <w:left w:val="single" w:color="C5D0E0" w:sz="1"/>
              <w:bottom w:val="single" w:color="C5D0E0" w:sz="1"/>
              <w:right w:val="single" w:color="C5D0E0" w:sz="1"/>
            </w:tcBorders>
            <w:shd w:fill="FFFFFF"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Peticionamento e consulta em sistemas judiciais públicos (eProc SP e PJe TJRJ) exigem que o usuário esteja autenticado com certificado digital e navegue manualmente por interfaces complexas. Para escritórios com alto volume de processos, isso representa horas diárias de trabalho repetitivo com risco de erro humano.
Esta solução usa Chrome CDP (Remote Debugging Protocol) para conectar-se ao navegador real do advogado — que já tem o certificado digital instalado — e operar os sistemas judiciais como se fosse o próprio usuário. Nenhuma senha extra, nenhum certificado adicional. O robô herda a sessão autenticada, processa a planilha de processos e reporta cada ação em tempo real. Inclui diagnóstico automático do Chrome, detecção de perfil e extensão Chrome complementar.</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Impacto</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Cobre eProc SP e PJe TJRJ com uma única ferramenta. Opera com a sessão real do usuário — zero fricção de autenticação.</w:t>
            </w:r>
          </w:p>
        </w:tc>
      </w:tr>
      <w:tr>
        <w:tc>
          <w:tcPr>
            <w:tcW w:type="dxa" w:w="1700"/>
            <w:tcBorders>
              <w:top w:val="single" w:color="C5D0E0" w:sz="1"/>
              <w:left w:val="single" w:color="C5D0E0" w:sz="1"/>
              <w:bottom w:val="single" w:color="C5D0E0" w:sz="1"/>
              <w:right w:val="single" w:color="C5D0E0" w:sz="1"/>
            </w:tcBorders>
            <w:shd w:fill="44444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Stack</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555555"/>
                <w:sz w:val="19"/>
                <w:szCs w:val="19"/>
              </w:rPr>
              <w:t xml:space="preserve">Python, Flask, Playwright, Chrome CDP, Chrome Extension (MV3), JavaScript</w:t>
            </w:r>
          </w:p>
        </w:tc>
      </w:tr>
      <w:tr>
        <w:tc>
          <w:tcPr>
            <w:tcW w:type="dxa" w:w="1700"/>
            <w:tcBorders>
              <w:top w:val="single" w:color="C5D0E0" w:sz="1"/>
              <w:left w:val="single" w:color="C5D0E0" w:sz="1"/>
              <w:bottom w:val="single" w:color="C5D0E0" w:sz="1"/>
              <w:right w:val="single" w:color="C5D0E0" w:sz="1"/>
            </w:tcBorders>
            <w:shd w:fill="555555"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Módulos-chave</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666666"/>
                <w:sz w:val="19"/>
                <w:szCs w:val="19"/>
              </w:rPr>
              <w:t xml:space="preserve">automation/eproc_sp.py · pje_tjrj.py · browser_base.py · extensao/ · core/mapeamento.py</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Valor de Mercado Est.</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1B5E20"/>
                <w:sz w:val="19"/>
                <w:szCs w:val="19"/>
              </w:rPr>
              <w:t xml:space="preserve">R$ 60.000 – R$ 120.000</w:t>
            </w:r>
          </w:p>
        </w:tc>
      </w:tr>
      <w:tr>
        <w:tc>
          <w:tcPr>
            <w:tcW w:type="dxa" w:w="9360"/>
            <w:gridSpan w:val="2"/>
            <w:tcBorders>
              <w:top w:val="none" w:color="FFFFFF" w:sz="0"/>
              <w:left w:val="none" w:color="FFFFFF" w:sz="0"/>
              <w:bottom w:val="none" w:color="FFFFFF" w:sz="0"/>
              <w:right w:val="none" w:color="FFFFFF" w:sz="0"/>
            </w:tcBorders>
            <w:shd w:fill="F2F4FA" w:val="clear"/>
            <w:tcMar>
              <w:top w:type="dxa" w:w="12"/>
              <w:left w:type="dxa" w:w="0"/>
              <w:bottom w:type="dxa" w:w="12"/>
              <w:right w:type="dxa" w:w="0"/>
            </w:tcMar>
          </w:tcPr>
          <w:p>
            <w:pPr>
              <w:spacing w:after="0" w:before="0"/>
              <w:jc w:val="center"/>
            </w:pPr>
            <w:r>
              <w:drawing>
                <wp:inline distT="0" distB="0" distL="0" distR="0">
                  <wp:extent cx="5667375" cy="2514600"/>
                  <wp:effectExtent t="0" r="0" b="0" l="0"/>
                  <wp:docPr id="1" name="mockup" descr="Mockup da interface" title="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514600"/>
                          </a:xfrm>
                          <a:prstGeom prst="rect">
                            <a:avLst/>
                          </a:prstGeom>
                        </pic:spPr>
                      </pic:pic>
                    </a:graphicData>
                  </a:graphic>
                </wp:inline>
              </w:drawing>
            </w:r>
          </w:p>
        </w:tc>
      </w:tr>
    </w:tbl>
    <w:p>
      <w:pPr>
        <w:spacing w:after="0" w:before="140"/>
      </w:pPr>
      <w:r>
        <w:rPr>
          <w:rFonts w:ascii="Arial" w:cs="Arial" w:eastAsia="Arial" w:hAnsi="Arial"/>
          <w:b w:val="false"/>
          <w:bCs w:val="false"/>
          <w:i w:val="false"/>
          <w:iCs w:val="false"/>
          <w:color w:val="222222"/>
          <w:sz w:val="22"/>
          <w:szCs w:val="22"/>
        </w:rPr>
        <w:t xml:space="preserve"/>
      </w:r>
    </w:p>
    <w:p>
      <w:pPr>
        <w:spacing w:after="80" w:before="200"/>
      </w:pPr>
      <w:r>
        <w:rPr>
          <w:rFonts w:ascii="Arial" w:cs="Arial" w:eastAsia="Arial" w:hAnsi="Arial"/>
          <w:b/>
          <w:bCs/>
          <w:color w:val="999999"/>
          <w:sz w:val="26"/>
          <w:szCs w:val="26"/>
        </w:rPr>
        <w:t xml:space="preserve">04.  </w:t>
      </w:r>
      <w:r>
        <w:rPr>
          <w:rFonts w:ascii="Arial" w:cs="Arial" w:eastAsia="Arial" w:hAnsi="Arial"/>
          <w:b/>
          <w:bCs/>
          <w:color w:val="1B5E20"/>
          <w:sz w:val="26"/>
          <w:szCs w:val="26"/>
        </w:rPr>
        <w:t xml:space="preserve">Publicacoes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Suite de Leitura Inteligente — Extensões Chrome com OCR e IA</w:t>
            </w:r>
          </w:p>
        </w:tc>
        <w:tc>
          <w:tcPr>
            <w:tcW w:type="dxa" w:w="7660"/>
            <w:tcBorders>
              <w:top w:val="single" w:color="C5D0E0" w:sz="1"/>
              <w:left w:val="single" w:color="C5D0E0" w:sz="1"/>
              <w:bottom w:val="single" w:color="C5D0E0" w:sz="1"/>
              <w:right w:val="single" w:color="C5D0E0" w:sz="1"/>
            </w:tcBorders>
            <w:shd w:fill="D9E2F3" w:val="clear"/>
            <w:tcMar>
              <w:top w:type="dxa" w:w="100"/>
              <w:left w:type="dxa" w:w="160"/>
              <w:bottom w:type="dxa" w:w="100"/>
              <w:right w:type="dxa" w:w="160"/>
            </w:tcMar>
          </w:tcPr>
          <w:p>
            <w:pPr>
              <w:spacing w:after="0" w:before="0"/>
            </w:pPr>
            <w:r>
              <w:rPr>
                <w:rFonts w:ascii="Arial" w:cs="Arial" w:eastAsia="Arial" w:hAnsi="Arial"/>
                <w:color w:val="2E5090"/>
                <w:sz w:val="19"/>
                <w:szCs w:val="19"/>
              </w:rPr>
              <w:t xml:space="preserve"/>
            </w:r>
          </w:p>
        </w:tc>
      </w:tr>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Aplicação Comercial</w:t>
            </w:r>
          </w:p>
        </w:tc>
        <w:tc>
          <w:tcPr>
            <w:tcW w:type="dxa" w:w="7660"/>
            <w:tcBorders>
              <w:top w:val="single" w:color="C5D0E0" w:sz="1"/>
              <w:left w:val="single" w:color="C5D0E0" w:sz="1"/>
              <w:bottom w:val="single" w:color="C5D0E0" w:sz="1"/>
              <w:right w:val="single" w:color="C5D0E0" w:sz="1"/>
            </w:tcBorders>
            <w:shd w:fill="FFFFFF"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Advogados perdem horas por semana lendo publicações do DJe e analisando processos no eLaw manualmente, em busca de prazos, intimações e pedidos relevantes. PDFs escaneados agravam o problema: sem OCR, o texto nem sequer é pesquisável.
Esta suite entrega duas extensões Chrome que rodam diretamente no navegador, sem servidor externo. A primeira lê publicações do DJe com OCR (Tesseract em WebAssembly), extrai texto de PDFs escaneados e identifica automaticamente intimações relevantes para os clientes do escritório. A segunda analisa processos abertos no eLaw, extrai campos estruturados (tipo de ação, pedidos, prazos, valor) e apresenta análise de risco com base em jurisprudência. Inclui ainda agentes HTML autônomos para vigilância e análise jurídica.</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Impacto</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Zero instalação de servidor — roda no próprio navegador. OCR em tempo real de PDFs escaneados. Análise de risco automática.</w:t>
            </w:r>
          </w:p>
        </w:tc>
      </w:tr>
      <w:tr>
        <w:tc>
          <w:tcPr>
            <w:tcW w:type="dxa" w:w="1700"/>
            <w:tcBorders>
              <w:top w:val="single" w:color="C5D0E0" w:sz="1"/>
              <w:left w:val="single" w:color="C5D0E0" w:sz="1"/>
              <w:bottom w:val="single" w:color="C5D0E0" w:sz="1"/>
              <w:right w:val="single" w:color="C5D0E0" w:sz="1"/>
            </w:tcBorders>
            <w:shd w:fill="44444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Stack</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555555"/>
                <w:sz w:val="19"/>
                <w:szCs w:val="19"/>
              </w:rPr>
              <w:t xml:space="preserve">JavaScript, Chrome Extension Manifest V3, Tesseract.js (WASM), PDF.js, Content Scripts</w:t>
            </w:r>
          </w:p>
        </w:tc>
      </w:tr>
      <w:tr>
        <w:tc>
          <w:tcPr>
            <w:tcW w:type="dxa" w:w="1700"/>
            <w:tcBorders>
              <w:top w:val="single" w:color="C5D0E0" w:sz="1"/>
              <w:left w:val="single" w:color="C5D0E0" w:sz="1"/>
              <w:bottom w:val="single" w:color="C5D0E0" w:sz="1"/>
              <w:right w:val="single" w:color="C5D0E0" w:sz="1"/>
            </w:tcBorders>
            <w:shd w:fill="555555"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Módulos-chave</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666666"/>
                <w:sz w:val="19"/>
                <w:szCs w:val="19"/>
              </w:rPr>
              <w:t xml:space="preserve">leitor_atas_extensao/ · leitor_processos_extensao/ · agente_juridico.html · agente_vigilancia_elaw.html</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Valor de Mercado Est.</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1B5E20"/>
                <w:sz w:val="19"/>
                <w:szCs w:val="19"/>
              </w:rPr>
              <w:t xml:space="preserve">R$ 40.000 – R$ 80.000</w:t>
            </w:r>
          </w:p>
        </w:tc>
      </w:tr>
      <w:tr>
        <w:tc>
          <w:tcPr>
            <w:tcW w:type="dxa" w:w="9360"/>
            <w:gridSpan w:val="2"/>
            <w:tcBorders>
              <w:top w:val="none" w:color="FFFFFF" w:sz="0"/>
              <w:left w:val="none" w:color="FFFFFF" w:sz="0"/>
              <w:bottom w:val="none" w:color="FFFFFF" w:sz="0"/>
              <w:right w:val="none" w:color="FFFFFF" w:sz="0"/>
            </w:tcBorders>
            <w:shd w:fill="F2F4FA" w:val="clear"/>
            <w:tcMar>
              <w:top w:type="dxa" w:w="12"/>
              <w:left w:type="dxa" w:w="0"/>
              <w:bottom w:type="dxa" w:w="12"/>
              <w:right w:type="dxa" w:w="0"/>
            </w:tcMar>
          </w:tcPr>
          <w:p>
            <w:pPr>
              <w:spacing w:after="0" w:before="0"/>
              <w:jc w:val="center"/>
            </w:pPr>
            <w:r>
              <w:drawing>
                <wp:inline distT="0" distB="0" distL="0" distR="0">
                  <wp:extent cx="5667375" cy="2514600"/>
                  <wp:effectExtent t="0" r="0" b="0" l="0"/>
                  <wp:docPr id="1" name="mockup" descr="Mockup da interface" title="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514600"/>
                          </a:xfrm>
                          <a:prstGeom prst="rect">
                            <a:avLst/>
                          </a:prstGeom>
                        </pic:spPr>
                      </pic:pic>
                    </a:graphicData>
                  </a:graphic>
                </wp:inline>
              </w:drawing>
            </w:r>
          </w:p>
        </w:tc>
      </w:tr>
    </w:tbl>
    <w:p>
      <w:pPr>
        <w:spacing w:after="0" w:before="140"/>
      </w:pPr>
      <w:r>
        <w:rPr>
          <w:rFonts w:ascii="Arial" w:cs="Arial" w:eastAsia="Arial" w:hAnsi="Arial"/>
          <w:b w:val="false"/>
          <w:bCs w:val="false"/>
          <w:i w:val="false"/>
          <w:iCs w:val="false"/>
          <w:color w:val="222222"/>
          <w:sz w:val="22"/>
          <w:szCs w:val="22"/>
        </w:rPr>
        <w:t xml:space="preserve"/>
      </w:r>
    </w:p>
    <w:p>
      <w:pPr>
        <w:spacing w:after="80" w:before="200"/>
      </w:pPr>
      <w:r>
        <w:rPr>
          <w:rFonts w:ascii="Arial" w:cs="Arial" w:eastAsia="Arial" w:hAnsi="Arial"/>
          <w:b/>
          <w:bCs/>
          <w:color w:val="999999"/>
          <w:sz w:val="26"/>
          <w:szCs w:val="26"/>
        </w:rPr>
        <w:t xml:space="preserve">05.  </w:t>
      </w:r>
      <w:r>
        <w:rPr>
          <w:rFonts w:ascii="Arial" w:cs="Arial" w:eastAsia="Arial" w:hAnsi="Arial"/>
          <w:b/>
          <w:bCs/>
          <w:color w:val="4A148C"/>
          <w:sz w:val="26"/>
          <w:szCs w:val="26"/>
        </w:rPr>
        <w:t xml:space="preserve">DistribuidorAtividades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Plataforma de Gestão e Distribuição de Tarefas — Kanban Jurídico</w:t>
            </w:r>
          </w:p>
        </w:tc>
        <w:tc>
          <w:tcPr>
            <w:tcW w:type="dxa" w:w="7660"/>
            <w:tcBorders>
              <w:top w:val="single" w:color="C5D0E0" w:sz="1"/>
              <w:left w:val="single" w:color="C5D0E0" w:sz="1"/>
              <w:bottom w:val="single" w:color="C5D0E0" w:sz="1"/>
              <w:right w:val="single" w:color="C5D0E0" w:sz="1"/>
            </w:tcBorders>
            <w:shd w:fill="D9E2F3" w:val="clear"/>
            <w:tcMar>
              <w:top w:type="dxa" w:w="100"/>
              <w:left w:type="dxa" w:w="160"/>
              <w:bottom w:type="dxa" w:w="100"/>
              <w:right w:type="dxa" w:w="160"/>
            </w:tcMar>
          </w:tcPr>
          <w:p>
            <w:pPr>
              <w:spacing w:after="0" w:before="0"/>
            </w:pPr>
            <w:r>
              <w:rPr>
                <w:rFonts w:ascii="Arial" w:cs="Arial" w:eastAsia="Arial" w:hAnsi="Arial"/>
                <w:color w:val="2E5090"/>
                <w:sz w:val="19"/>
                <w:szCs w:val="19"/>
              </w:rPr>
              <w:t xml:space="preserve"/>
            </w:r>
          </w:p>
        </w:tc>
      </w:tr>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Aplicação Comercial</w:t>
            </w:r>
          </w:p>
        </w:tc>
        <w:tc>
          <w:tcPr>
            <w:tcW w:type="dxa" w:w="7660"/>
            <w:tcBorders>
              <w:top w:val="single" w:color="C5D0E0" w:sz="1"/>
              <w:left w:val="single" w:color="C5D0E0" w:sz="1"/>
              <w:bottom w:val="single" w:color="C5D0E0" w:sz="1"/>
              <w:right w:val="single" w:color="C5D0E0" w:sz="1"/>
            </w:tcBorders>
            <w:shd w:fill="FFFFFF"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Equipes de controladoria jurídica costumam distribuir tarefas por WhatsApp, e-mail ou planilhas compartilhadas — sem rastreabilidade, sem SLA, sem visibilidade de quem fez o quê e quando. Isso gera retrabalho, prazos perdidos e dificuldade de gestão.
Esta plataforma web substitui completamente esse fluxo. A coordenadora distribui tarefas por cliente (BYD, Ânima, Nubank, Eventim etc.), define responsáveis e prazos. Cada colaborador acessa o seu painel, move tarefas pelo quadro Kanban e atualiza o status em tempo real. O sistema envia notificações por e-mail automaticamente. Tem autenticação por perfil (coordenadora vs colaborador), banco de dados persistente e deploy pronto para Railway — acessível de qualquer lugar via navegador.</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Impacto</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Visibilidade total das atividades da equipe. Notificações automáticas por e-mail. Deploy na nuvem — acesso de qualquer lugar.</w:t>
            </w:r>
          </w:p>
        </w:tc>
      </w:tr>
      <w:tr>
        <w:tc>
          <w:tcPr>
            <w:tcW w:type="dxa" w:w="1700"/>
            <w:tcBorders>
              <w:top w:val="single" w:color="C5D0E0" w:sz="1"/>
              <w:left w:val="single" w:color="C5D0E0" w:sz="1"/>
              <w:bottom w:val="single" w:color="C5D0E0" w:sz="1"/>
              <w:right w:val="single" w:color="C5D0E0" w:sz="1"/>
            </w:tcBorders>
            <w:shd w:fill="44444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Stack</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555555"/>
                <w:sz w:val="19"/>
                <w:szCs w:val="19"/>
              </w:rPr>
              <w:t xml:space="preserve">Python, Flask, SQLite, SMTP, Railway, VBS (inicialização silenciosa Windows)</w:t>
            </w:r>
          </w:p>
        </w:tc>
      </w:tr>
      <w:tr>
        <w:tc>
          <w:tcPr>
            <w:tcW w:type="dxa" w:w="1700"/>
            <w:tcBorders>
              <w:top w:val="single" w:color="C5D0E0" w:sz="1"/>
              <w:left w:val="single" w:color="C5D0E0" w:sz="1"/>
              <w:bottom w:val="single" w:color="C5D0E0" w:sz="1"/>
              <w:right w:val="single" w:color="C5D0E0" w:sz="1"/>
            </w:tcBorders>
            <w:shd w:fill="555555"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Módulos-chave</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666666"/>
                <w:sz w:val="19"/>
                <w:szCs w:val="19"/>
              </w:rPr>
              <w:t xml:space="preserve">app.py · templates/coord_painel.html · colab_painel.html · iniciar_silencioso.vbs · Procfile</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Valor de Mercado Est.</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1B5E20"/>
                <w:sz w:val="19"/>
                <w:szCs w:val="19"/>
              </w:rPr>
              <w:t xml:space="preserve">R$ 25.000 – R$ 45.000</w:t>
            </w:r>
          </w:p>
        </w:tc>
      </w:tr>
      <w:tr>
        <w:tc>
          <w:tcPr>
            <w:tcW w:type="dxa" w:w="9360"/>
            <w:gridSpan w:val="2"/>
            <w:tcBorders>
              <w:top w:val="none" w:color="FFFFFF" w:sz="0"/>
              <w:left w:val="none" w:color="FFFFFF" w:sz="0"/>
              <w:bottom w:val="none" w:color="FFFFFF" w:sz="0"/>
              <w:right w:val="none" w:color="FFFFFF" w:sz="0"/>
            </w:tcBorders>
            <w:shd w:fill="F2F4FA" w:val="clear"/>
            <w:tcMar>
              <w:top w:type="dxa" w:w="12"/>
              <w:left w:type="dxa" w:w="0"/>
              <w:bottom w:type="dxa" w:w="12"/>
              <w:right w:type="dxa" w:w="0"/>
            </w:tcMar>
          </w:tcPr>
          <w:p>
            <w:pPr>
              <w:spacing w:after="0" w:before="0"/>
              <w:jc w:val="center"/>
            </w:pPr>
            <w:r>
              <w:drawing>
                <wp:inline distT="0" distB="0" distL="0" distR="0">
                  <wp:extent cx="5667375" cy="2514600"/>
                  <wp:effectExtent t="0" r="0" b="0" l="0"/>
                  <wp:docPr id="1" name="mockup" descr="Mockup da interface" title="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514600"/>
                          </a:xfrm>
                          <a:prstGeom prst="rect">
                            <a:avLst/>
                          </a:prstGeom>
                        </pic:spPr>
                      </pic:pic>
                    </a:graphicData>
                  </a:graphic>
                </wp:inline>
              </w:drawing>
            </w:r>
          </w:p>
        </w:tc>
      </w:tr>
    </w:tbl>
    <w:p>
      <w:pPr>
        <w:spacing w:after="0" w:before="140"/>
      </w:pPr>
      <w:r>
        <w:rPr>
          <w:rFonts w:ascii="Arial" w:cs="Arial" w:eastAsia="Arial" w:hAnsi="Arial"/>
          <w:b w:val="false"/>
          <w:bCs w:val="false"/>
          <w:i w:val="false"/>
          <w:iCs w:val="false"/>
          <w:color w:val="222222"/>
          <w:sz w:val="22"/>
          <w:szCs w:val="22"/>
        </w:rPr>
        <w:t xml:space="preserve"/>
      </w:r>
    </w:p>
    <w:p>
      <w:pPr>
        <w:spacing w:after="80" w:before="200"/>
      </w:pPr>
      <w:r>
        <w:rPr>
          <w:rFonts w:ascii="Arial" w:cs="Arial" w:eastAsia="Arial" w:hAnsi="Arial"/>
          <w:b/>
          <w:bCs/>
          <w:color w:val="999999"/>
          <w:sz w:val="26"/>
          <w:szCs w:val="26"/>
        </w:rPr>
        <w:t xml:space="preserve">06.  </w:t>
      </w:r>
      <w:r>
        <w:rPr>
          <w:rFonts w:ascii="Arial" w:cs="Arial" w:eastAsia="Arial" w:hAnsi="Arial"/>
          <w:b/>
          <w:bCs/>
          <w:color w:val="E65100"/>
          <w:sz w:val="26"/>
          <w:szCs w:val="26"/>
        </w:rPr>
        <w:t xml:space="preserve">VerificacaoCadastro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Auditoria Automatizada de Cadastros em Sistemas Jurídicos Externos</w:t>
            </w:r>
          </w:p>
        </w:tc>
        <w:tc>
          <w:tcPr>
            <w:tcW w:type="dxa" w:w="7660"/>
            <w:tcBorders>
              <w:top w:val="single" w:color="C5D0E0" w:sz="1"/>
              <w:left w:val="single" w:color="C5D0E0" w:sz="1"/>
              <w:bottom w:val="single" w:color="C5D0E0" w:sz="1"/>
              <w:right w:val="single" w:color="C5D0E0" w:sz="1"/>
            </w:tcBorders>
            <w:shd w:fill="D9E2F3" w:val="clear"/>
            <w:tcMar>
              <w:top w:type="dxa" w:w="100"/>
              <w:left w:type="dxa" w:w="160"/>
              <w:bottom w:type="dxa" w:w="100"/>
              <w:right w:type="dxa" w:w="160"/>
            </w:tcMar>
          </w:tcPr>
          <w:p>
            <w:pPr>
              <w:spacing w:after="0" w:before="0"/>
            </w:pPr>
            <w:r>
              <w:rPr>
                <w:rFonts w:ascii="Arial" w:cs="Arial" w:eastAsia="Arial" w:hAnsi="Arial"/>
                <w:color w:val="2E5090"/>
                <w:sz w:val="19"/>
                <w:szCs w:val="19"/>
              </w:rPr>
              <w:t xml:space="preserve"/>
            </w:r>
          </w:p>
        </w:tc>
      </w:tr>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Aplicação Comercial</w:t>
            </w:r>
          </w:p>
        </w:tc>
        <w:tc>
          <w:tcPr>
            <w:tcW w:type="dxa" w:w="7660"/>
            <w:tcBorders>
              <w:top w:val="single" w:color="C5D0E0" w:sz="1"/>
              <w:left w:val="single" w:color="C5D0E0" w:sz="1"/>
              <w:bottom w:val="single" w:color="C5D0E0" w:sz="1"/>
              <w:right w:val="single" w:color="C5D0E0" w:sz="1"/>
            </w:tcBorders>
            <w:shd w:fill="FFFFFF"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Clientes como Eventim entregam ao escritório planilhas com dados de processos que precisam estar corretamente cadastrados em sistemas externos. Verificar campo a campo manualmente se o que está na planilha bate com o que está no sistema é um trabalho tedioso, lento e sujeito a erro humano.
Esta ferramenta faz esse trabalho automaticamente. Ela lê a planilha do cliente, faz login no sistema externo, busca cada processo e compara os dados campo a campo usando um motor de regras configurável em JSON. Gera relatório com três categorias: OK, Atenção (diferença pequena) e Divergência (dado incorreto ou ausente). O resultado é um relatório auditável que vai direto para o cliente com evidências de cada verificação.</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Impacto</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Elimina revisão manual de centenas de registros. Motor de regras configurável por cliente. Relatório de evidências para auditoria.</w:t>
            </w:r>
          </w:p>
        </w:tc>
      </w:tr>
      <w:tr>
        <w:tc>
          <w:tcPr>
            <w:tcW w:type="dxa" w:w="1700"/>
            <w:tcBorders>
              <w:top w:val="single" w:color="C5D0E0" w:sz="1"/>
              <w:left w:val="single" w:color="C5D0E0" w:sz="1"/>
              <w:bottom w:val="single" w:color="C5D0E0" w:sz="1"/>
              <w:right w:val="single" w:color="C5D0E0" w:sz="1"/>
            </w:tcBorders>
            <w:shd w:fill="44444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Stack</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555555"/>
                <w:sz w:val="19"/>
                <w:szCs w:val="19"/>
              </w:rPr>
              <w:t xml:space="preserve">Python, Flask, Playwright, JSON Rules Engine, pandas</w:t>
            </w:r>
          </w:p>
        </w:tc>
      </w:tr>
      <w:tr>
        <w:tc>
          <w:tcPr>
            <w:tcW w:type="dxa" w:w="1700"/>
            <w:tcBorders>
              <w:top w:val="single" w:color="C5D0E0" w:sz="1"/>
              <w:left w:val="single" w:color="C5D0E0" w:sz="1"/>
              <w:bottom w:val="single" w:color="C5D0E0" w:sz="1"/>
              <w:right w:val="single" w:color="C5D0E0" w:sz="1"/>
            </w:tcBorders>
            <w:shd w:fill="555555"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Módulos-chave</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666666"/>
                <w:sz w:val="19"/>
                <w:szCs w:val="19"/>
              </w:rPr>
              <w:t xml:space="preserve">browser.py · regras_verificacao.py · campos_baseline.json · ler_verificacao.py · descobrir_campos.py</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Valor de Mercado Est.</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1B5E20"/>
                <w:sz w:val="19"/>
                <w:szCs w:val="19"/>
              </w:rPr>
              <w:t xml:space="preserve">R$ 18.000 – R$ 30.000</w:t>
            </w:r>
          </w:p>
        </w:tc>
      </w:tr>
      <w:tr>
        <w:tc>
          <w:tcPr>
            <w:tcW w:type="dxa" w:w="9360"/>
            <w:gridSpan w:val="2"/>
            <w:tcBorders>
              <w:top w:val="none" w:color="FFFFFF" w:sz="0"/>
              <w:left w:val="none" w:color="FFFFFF" w:sz="0"/>
              <w:bottom w:val="none" w:color="FFFFFF" w:sz="0"/>
              <w:right w:val="none" w:color="FFFFFF" w:sz="0"/>
            </w:tcBorders>
            <w:shd w:fill="F2F4FA" w:val="clear"/>
            <w:tcMar>
              <w:top w:type="dxa" w:w="12"/>
              <w:left w:type="dxa" w:w="0"/>
              <w:bottom w:type="dxa" w:w="12"/>
              <w:right w:type="dxa" w:w="0"/>
            </w:tcMar>
          </w:tcPr>
          <w:p>
            <w:pPr>
              <w:spacing w:after="0" w:before="0"/>
              <w:jc w:val="center"/>
            </w:pPr>
            <w:r>
              <w:drawing>
                <wp:inline distT="0" distB="0" distL="0" distR="0">
                  <wp:extent cx="5667375" cy="2514600"/>
                  <wp:effectExtent t="0" r="0" b="0" l="0"/>
                  <wp:docPr id="1" name="mockup" descr="Mockup da interface" title="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514600"/>
                          </a:xfrm>
                          <a:prstGeom prst="rect">
                            <a:avLst/>
                          </a:prstGeom>
                        </pic:spPr>
                      </pic:pic>
                    </a:graphicData>
                  </a:graphic>
                </wp:inline>
              </w:drawing>
            </w:r>
          </w:p>
        </w:tc>
      </w:tr>
    </w:tbl>
    <w:p>
      <w:pPr>
        <w:spacing w:after="0" w:before="140"/>
      </w:pPr>
      <w:r>
        <w:rPr>
          <w:rFonts w:ascii="Arial" w:cs="Arial" w:eastAsia="Arial" w:hAnsi="Arial"/>
          <w:b w:val="false"/>
          <w:bCs w:val="false"/>
          <w:i w:val="false"/>
          <w:iCs w:val="false"/>
          <w:color w:val="222222"/>
          <w:sz w:val="22"/>
          <w:szCs w:val="22"/>
        </w:rPr>
        <w:t xml:space="preserve"/>
      </w:r>
    </w:p>
    <w:p>
      <w:pPr>
        <w:spacing w:after="80" w:before="200"/>
      </w:pPr>
      <w:r>
        <w:rPr>
          <w:rFonts w:ascii="Arial" w:cs="Arial" w:eastAsia="Arial" w:hAnsi="Arial"/>
          <w:b/>
          <w:bCs/>
          <w:color w:val="999999"/>
          <w:sz w:val="26"/>
          <w:szCs w:val="26"/>
        </w:rPr>
        <w:t xml:space="preserve">07.  </w:t>
      </w:r>
      <w:r>
        <w:rPr>
          <w:rFonts w:ascii="Arial" w:cs="Arial" w:eastAsia="Arial" w:hAnsi="Arial"/>
          <w:b/>
          <w:bCs/>
          <w:color w:val="1F3864"/>
          <w:sz w:val="26"/>
          <w:szCs w:val="26"/>
        </w:rPr>
        <w:t xml:space="preserve">cadastro_anima_civel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RPA de Cadastro em Massa — Processos Cíveis no eLaw (Ânima)</w:t>
            </w:r>
          </w:p>
        </w:tc>
        <w:tc>
          <w:tcPr>
            <w:tcW w:type="dxa" w:w="7660"/>
            <w:tcBorders>
              <w:top w:val="single" w:color="C5D0E0" w:sz="1"/>
              <w:left w:val="single" w:color="C5D0E0" w:sz="1"/>
              <w:bottom w:val="single" w:color="C5D0E0" w:sz="1"/>
              <w:right w:val="single" w:color="C5D0E0" w:sz="1"/>
            </w:tcBorders>
            <w:shd w:fill="D9E2F3" w:val="clear"/>
            <w:tcMar>
              <w:top w:type="dxa" w:w="100"/>
              <w:left w:type="dxa" w:w="160"/>
              <w:bottom w:type="dxa" w:w="100"/>
              <w:right w:type="dxa" w:w="160"/>
            </w:tcMar>
          </w:tcPr>
          <w:p>
            <w:pPr>
              <w:spacing w:after="0" w:before="0"/>
            </w:pPr>
            <w:r>
              <w:rPr>
                <w:rFonts w:ascii="Arial" w:cs="Arial" w:eastAsia="Arial" w:hAnsi="Arial"/>
                <w:color w:val="2E5090"/>
                <w:sz w:val="19"/>
                <w:szCs w:val="19"/>
              </w:rPr>
              <w:t xml:space="preserve"/>
            </w:r>
          </w:p>
        </w:tc>
      </w:tr>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Aplicação Comercial</w:t>
            </w:r>
          </w:p>
        </w:tc>
        <w:tc>
          <w:tcPr>
            <w:tcW w:type="dxa" w:w="7660"/>
            <w:tcBorders>
              <w:top w:val="single" w:color="C5D0E0" w:sz="1"/>
              <w:left w:val="single" w:color="C5D0E0" w:sz="1"/>
              <w:bottom w:val="single" w:color="C5D0E0" w:sz="1"/>
              <w:right w:val="single" w:color="C5D0E0" w:sz="1"/>
            </w:tcBorders>
            <w:shd w:fill="FFFFFF"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A Ânima Educação possui um volume expressivo de processos cíveis que precisam ser registrados no sistema eLaw. O preenchimento manual de cada processo — com tipo de ação, procedimento, fase, pedidos, valor da causa e documentos — consome horas de equipe para cada lote recebido.
Esta ferramenta automatiza o cadastro em massa com abordagem de engenharia reversa: em vez de simular cliques no navegador (lento e frágil), envia requisições HTTP diretamente à API interna do eLaw, processando cada processo em segundos. Lê a planilha do cliente, mapeia os campos, cadastra e gera relatório com status de cada processo. Inclui documentação técnica detalhada das descobertas do sistema eLaw (PrimeFaces/JSF).</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Impacto</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Cadastro via API direta — 10x mais rápido que automação por interface. Processa centenas de casos por hora.</w:t>
            </w:r>
          </w:p>
        </w:tc>
      </w:tr>
      <w:tr>
        <w:tc>
          <w:tcPr>
            <w:tcW w:type="dxa" w:w="1700"/>
            <w:tcBorders>
              <w:top w:val="single" w:color="C5D0E0" w:sz="1"/>
              <w:left w:val="single" w:color="C5D0E0" w:sz="1"/>
              <w:bottom w:val="single" w:color="C5D0E0" w:sz="1"/>
              <w:right w:val="single" w:color="C5D0E0" w:sz="1"/>
            </w:tcBorders>
            <w:shd w:fill="44444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Stack</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555555"/>
                <w:sz w:val="19"/>
                <w:szCs w:val="19"/>
              </w:rPr>
              <w:t xml:space="preserve">Python, Flask, Requests (API direta), openpyxl, eLaw API (PrimeFaces/JSF)</w:t>
            </w:r>
          </w:p>
        </w:tc>
      </w:tr>
      <w:tr>
        <w:tc>
          <w:tcPr>
            <w:tcW w:type="dxa" w:w="1700"/>
            <w:tcBorders>
              <w:top w:val="single" w:color="C5D0E0" w:sz="1"/>
              <w:left w:val="single" w:color="C5D0E0" w:sz="1"/>
              <w:bottom w:val="single" w:color="C5D0E0" w:sz="1"/>
              <w:right w:val="single" w:color="C5D0E0" w:sz="1"/>
            </w:tcBorders>
            <w:shd w:fill="555555"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Módulos-chave</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666666"/>
                <w:sz w:val="19"/>
                <w:szCs w:val="19"/>
              </w:rPr>
              <w:t xml:space="preserve">cadastrar_processo.py · ler_planilha.py · gerar_relatorio.py · DESCOBERTAS_CADASTRO_ANIMA.md</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Valor de Mercado Est.</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1B5E20"/>
                <w:sz w:val="19"/>
                <w:szCs w:val="19"/>
              </w:rPr>
              <w:t xml:space="preserve">R$ 15.000 – R$ 25.000</w:t>
            </w:r>
          </w:p>
        </w:tc>
      </w:tr>
      <w:tr>
        <w:tc>
          <w:tcPr>
            <w:tcW w:type="dxa" w:w="9360"/>
            <w:gridSpan w:val="2"/>
            <w:tcBorders>
              <w:top w:val="none" w:color="FFFFFF" w:sz="0"/>
              <w:left w:val="none" w:color="FFFFFF" w:sz="0"/>
              <w:bottom w:val="none" w:color="FFFFFF" w:sz="0"/>
              <w:right w:val="none" w:color="FFFFFF" w:sz="0"/>
            </w:tcBorders>
            <w:shd w:fill="F2F4FA" w:val="clear"/>
            <w:tcMar>
              <w:top w:type="dxa" w:w="12"/>
              <w:left w:type="dxa" w:w="0"/>
              <w:bottom w:type="dxa" w:w="12"/>
              <w:right w:type="dxa" w:w="0"/>
            </w:tcMar>
          </w:tcPr>
          <w:p>
            <w:pPr>
              <w:spacing w:after="0" w:before="0"/>
              <w:jc w:val="center"/>
            </w:pPr>
            <w:r>
              <w:drawing>
                <wp:inline distT="0" distB="0" distL="0" distR="0">
                  <wp:extent cx="5667375" cy="2514600"/>
                  <wp:effectExtent t="0" r="0" b="0" l="0"/>
                  <wp:docPr id="1" name="mockup" descr="Mockup da interface" title="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514600"/>
                          </a:xfrm>
                          <a:prstGeom prst="rect">
                            <a:avLst/>
                          </a:prstGeom>
                        </pic:spPr>
                      </pic:pic>
                    </a:graphicData>
                  </a:graphic>
                </wp:inline>
              </w:drawing>
            </w:r>
          </w:p>
        </w:tc>
      </w:tr>
    </w:tbl>
    <w:p>
      <w:pPr>
        <w:spacing w:after="0" w:before="140"/>
      </w:pPr>
      <w:r>
        <w:rPr>
          <w:rFonts w:ascii="Arial" w:cs="Arial" w:eastAsia="Arial" w:hAnsi="Arial"/>
          <w:b w:val="false"/>
          <w:bCs w:val="false"/>
          <w:i w:val="false"/>
          <w:iCs w:val="false"/>
          <w:color w:val="222222"/>
          <w:sz w:val="22"/>
          <w:szCs w:val="22"/>
        </w:rPr>
        <w:t xml:space="preserve"/>
      </w:r>
    </w:p>
    <w:p>
      <w:pPr>
        <w:spacing w:after="80" w:before="200"/>
      </w:pPr>
      <w:r>
        <w:rPr>
          <w:rFonts w:ascii="Arial" w:cs="Arial" w:eastAsia="Arial" w:hAnsi="Arial"/>
          <w:b/>
          <w:bCs/>
          <w:color w:val="999999"/>
          <w:sz w:val="26"/>
          <w:szCs w:val="26"/>
        </w:rPr>
        <w:t xml:space="preserve">08.  </w:t>
      </w:r>
      <w:r>
        <w:rPr>
          <w:rFonts w:ascii="Arial" w:cs="Arial" w:eastAsia="Arial" w:hAnsi="Arial"/>
          <w:b/>
          <w:bCs/>
          <w:color w:val="1F3864"/>
          <w:sz w:val="26"/>
          <w:szCs w:val="26"/>
        </w:rPr>
        <w:t xml:space="preserve">cadastro_procon_anima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RPA de Cadastro PROCON — Processos Administrativos (Ânima)</w:t>
            </w:r>
          </w:p>
        </w:tc>
        <w:tc>
          <w:tcPr>
            <w:tcW w:type="dxa" w:w="7660"/>
            <w:tcBorders>
              <w:top w:val="single" w:color="C5D0E0" w:sz="1"/>
              <w:left w:val="single" w:color="C5D0E0" w:sz="1"/>
              <w:bottom w:val="single" w:color="C5D0E0" w:sz="1"/>
              <w:right w:val="single" w:color="C5D0E0" w:sz="1"/>
            </w:tcBorders>
            <w:shd w:fill="D9E2F3" w:val="clear"/>
            <w:tcMar>
              <w:top w:type="dxa" w:w="100"/>
              <w:left w:type="dxa" w:w="160"/>
              <w:bottom w:type="dxa" w:w="100"/>
              <w:right w:type="dxa" w:w="160"/>
            </w:tcMar>
          </w:tcPr>
          <w:p>
            <w:pPr>
              <w:spacing w:after="0" w:before="0"/>
            </w:pPr>
            <w:r>
              <w:rPr>
                <w:rFonts w:ascii="Arial" w:cs="Arial" w:eastAsia="Arial" w:hAnsi="Arial"/>
                <w:color w:val="2E5090"/>
                <w:sz w:val="19"/>
                <w:szCs w:val="19"/>
              </w:rPr>
              <w:t xml:space="preserve"/>
            </w:r>
          </w:p>
        </w:tc>
      </w:tr>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Aplicação Comercial</w:t>
            </w:r>
          </w:p>
        </w:tc>
        <w:tc>
          <w:tcPr>
            <w:tcW w:type="dxa" w:w="7660"/>
            <w:tcBorders>
              <w:top w:val="single" w:color="C5D0E0" w:sz="1"/>
              <w:left w:val="single" w:color="C5D0E0" w:sz="1"/>
              <w:bottom w:val="single" w:color="C5D0E0" w:sz="1"/>
              <w:right w:val="single" w:color="C5D0E0" w:sz="1"/>
            </w:tcBorders>
            <w:shd w:fill="FFFFFF"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Processos do PROCON têm campos e fluxo distintos dos processos cíveis — órgão, data de autuação, número PROCON, tipo de infração — e o volume pode ser alto dependendo do cliente. Cadastrar esses processos manualmente no eLaw é uma atividade operacional pura, sem valor intelectual agregado.
Esta ferramenta replica a arquitetura de API direta do cadastro cível, adaptada para o módulo PROCON do eLaw Ânima. O operador sobe a planilha com os casos do PROCON e o robô cadastra automaticamente, com de-para configurado entre os campos da planilha e os campos do sistema. Resulta em zero digitação manual para o time.</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Impacto</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Elimina totalmente a entrada manual de processos PROCON. Configurável para diferentes mapeamentos de campos por cliente.</w:t>
            </w:r>
          </w:p>
        </w:tc>
      </w:tr>
      <w:tr>
        <w:tc>
          <w:tcPr>
            <w:tcW w:type="dxa" w:w="1700"/>
            <w:tcBorders>
              <w:top w:val="single" w:color="C5D0E0" w:sz="1"/>
              <w:left w:val="single" w:color="C5D0E0" w:sz="1"/>
              <w:bottom w:val="single" w:color="C5D0E0" w:sz="1"/>
              <w:right w:val="single" w:color="C5D0E0" w:sz="1"/>
            </w:tcBorders>
            <w:shd w:fill="44444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Stack</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555555"/>
                <w:sz w:val="19"/>
                <w:szCs w:val="19"/>
              </w:rPr>
              <w:t xml:space="preserve">Python, Flask, Requests, openpyxl, eLaw API</w:t>
            </w:r>
          </w:p>
        </w:tc>
      </w:tr>
      <w:tr>
        <w:tc>
          <w:tcPr>
            <w:tcW w:type="dxa" w:w="1700"/>
            <w:tcBorders>
              <w:top w:val="single" w:color="C5D0E0" w:sz="1"/>
              <w:left w:val="single" w:color="C5D0E0" w:sz="1"/>
              <w:bottom w:val="single" w:color="C5D0E0" w:sz="1"/>
              <w:right w:val="single" w:color="C5D0E0" w:sz="1"/>
            </w:tcBorders>
            <w:shd w:fill="555555"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Módulos-chave</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666666"/>
                <w:sz w:val="19"/>
                <w:szCs w:val="19"/>
              </w:rPr>
              <w:t xml:space="preserve">cadastrar_processo.py · ler_planilha.py · gerar_relatorio.py · DESCOBERTAS_CADASTRO_ANIMA_PROCON.md</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Valor de Mercado Est.</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1B5E20"/>
                <w:sz w:val="19"/>
                <w:szCs w:val="19"/>
              </w:rPr>
              <w:t xml:space="preserve">R$ 12.000 – R$ 20.000</w:t>
            </w:r>
          </w:p>
        </w:tc>
      </w:tr>
      <w:tr>
        <w:tc>
          <w:tcPr>
            <w:tcW w:type="dxa" w:w="9360"/>
            <w:gridSpan w:val="2"/>
            <w:tcBorders>
              <w:top w:val="none" w:color="FFFFFF" w:sz="0"/>
              <w:left w:val="none" w:color="FFFFFF" w:sz="0"/>
              <w:bottom w:val="none" w:color="FFFFFF" w:sz="0"/>
              <w:right w:val="none" w:color="FFFFFF" w:sz="0"/>
            </w:tcBorders>
            <w:shd w:fill="F2F4FA" w:val="clear"/>
            <w:tcMar>
              <w:top w:type="dxa" w:w="12"/>
              <w:left w:type="dxa" w:w="0"/>
              <w:bottom w:type="dxa" w:w="12"/>
              <w:right w:type="dxa" w:w="0"/>
            </w:tcMar>
          </w:tcPr>
          <w:p>
            <w:pPr>
              <w:spacing w:after="0" w:before="0"/>
              <w:jc w:val="center"/>
            </w:pPr>
            <w:r>
              <w:drawing>
                <wp:inline distT="0" distB="0" distL="0" distR="0">
                  <wp:extent cx="5667375" cy="2514600"/>
                  <wp:effectExtent t="0" r="0" b="0" l="0"/>
                  <wp:docPr id="1" name="mockup" descr="Mockup da interface" title="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514600"/>
                          </a:xfrm>
                          <a:prstGeom prst="rect">
                            <a:avLst/>
                          </a:prstGeom>
                        </pic:spPr>
                      </pic:pic>
                    </a:graphicData>
                  </a:graphic>
                </wp:inline>
              </w:drawing>
            </w:r>
          </w:p>
        </w:tc>
      </w:tr>
    </w:tbl>
    <w:p>
      <w:pPr>
        <w:spacing w:after="0" w:before="140"/>
      </w:pPr>
      <w:r>
        <w:rPr>
          <w:rFonts w:ascii="Arial" w:cs="Arial" w:eastAsia="Arial" w:hAnsi="Arial"/>
          <w:b w:val="false"/>
          <w:bCs w:val="false"/>
          <w:i w:val="false"/>
          <w:iCs w:val="false"/>
          <w:color w:val="222222"/>
          <w:sz w:val="22"/>
          <w:szCs w:val="22"/>
        </w:rPr>
        <w:t xml:space="preserve"/>
      </w:r>
    </w:p>
    <w:p>
      <w:pPr>
        <w:spacing w:after="80" w:before="200"/>
      </w:pPr>
      <w:r>
        <w:rPr>
          <w:rFonts w:ascii="Arial" w:cs="Arial" w:eastAsia="Arial" w:hAnsi="Arial"/>
          <w:b/>
          <w:bCs/>
          <w:color w:val="999999"/>
          <w:sz w:val="26"/>
          <w:szCs w:val="26"/>
        </w:rPr>
        <w:t xml:space="preserve">09.  </w:t>
      </w:r>
      <w:r>
        <w:rPr>
          <w:rFonts w:ascii="Arial" w:cs="Arial" w:eastAsia="Arial" w:hAnsi="Arial"/>
          <w:b/>
          <w:bCs/>
          <w:color w:val="1F3864"/>
          <w:sz w:val="26"/>
          <w:szCs w:val="26"/>
        </w:rPr>
        <w:t xml:space="preserve">cadastro_procon_nubank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RPA de Cadastro PROCON — Alta Performance (Nubank)</w:t>
            </w:r>
          </w:p>
        </w:tc>
        <w:tc>
          <w:tcPr>
            <w:tcW w:type="dxa" w:w="7660"/>
            <w:tcBorders>
              <w:top w:val="single" w:color="C5D0E0" w:sz="1"/>
              <w:left w:val="single" w:color="C5D0E0" w:sz="1"/>
              <w:bottom w:val="single" w:color="C5D0E0" w:sz="1"/>
              <w:right w:val="single" w:color="C5D0E0" w:sz="1"/>
            </w:tcBorders>
            <w:shd w:fill="D9E2F3" w:val="clear"/>
            <w:tcMar>
              <w:top w:type="dxa" w:w="100"/>
              <w:left w:type="dxa" w:w="160"/>
              <w:bottom w:type="dxa" w:w="100"/>
              <w:right w:type="dxa" w:w="160"/>
            </w:tcMar>
          </w:tcPr>
          <w:p>
            <w:pPr>
              <w:spacing w:after="0" w:before="0"/>
            </w:pPr>
            <w:r>
              <w:rPr>
                <w:rFonts w:ascii="Arial" w:cs="Arial" w:eastAsia="Arial" w:hAnsi="Arial"/>
                <w:color w:val="2E5090"/>
                <w:sz w:val="19"/>
                <w:szCs w:val="19"/>
              </w:rPr>
              <w:t xml:space="preserve"/>
            </w:r>
          </w:p>
        </w:tc>
      </w:tr>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Aplicação Comercial</w:t>
            </w:r>
          </w:p>
        </w:tc>
        <w:tc>
          <w:tcPr>
            <w:tcW w:type="dxa" w:w="7660"/>
            <w:tcBorders>
              <w:top w:val="single" w:color="C5D0E0" w:sz="1"/>
              <w:left w:val="single" w:color="C5D0E0" w:sz="1"/>
              <w:bottom w:val="single" w:color="C5D0E0" w:sz="1"/>
              <w:right w:val="single" w:color="C5D0E0" w:sz="1"/>
            </w:tcBorders>
            <w:shd w:fill="FFFFFF"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O Nubank é um dos maiores geradores de processos PROCON do Brasil pelo volume de clientes. O escritório precisava de uma solução capaz de processar grandes lotes de forma rápida e confiável, sem os problemas de instabilidade de automações baseadas em cliques de interface.
Esta ferramenta foi desenvolvida com abordagem de POST direto — sem navegador, direto à API — o que a torna significativamente mais rápida e resiliente. Inclui script dedicado de geração de de-para para o mapeamento específico do Nubank, capturando as particularidades dos campos dessa conta. Resultado: cadastros em segundos por processo, com relatório completo ao final.</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Impacto</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Abordagem sem navegador: máxima performance e estabilidade para grandes volumes. Mapeamento dedicado ao padrão de dados do Nubank.</w:t>
            </w:r>
          </w:p>
        </w:tc>
      </w:tr>
      <w:tr>
        <w:tc>
          <w:tcPr>
            <w:tcW w:type="dxa" w:w="1700"/>
            <w:tcBorders>
              <w:top w:val="single" w:color="C5D0E0" w:sz="1"/>
              <w:left w:val="single" w:color="C5D0E0" w:sz="1"/>
              <w:bottom w:val="single" w:color="C5D0E0" w:sz="1"/>
              <w:right w:val="single" w:color="C5D0E0" w:sz="1"/>
            </w:tcBorders>
            <w:shd w:fill="44444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Stack</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555555"/>
                <w:sz w:val="19"/>
                <w:szCs w:val="19"/>
              </w:rPr>
              <w:t xml:space="preserve">Python, Flask, Requests (POST direto), openpyxl, API PROCON</w:t>
            </w:r>
          </w:p>
        </w:tc>
      </w:tr>
      <w:tr>
        <w:tc>
          <w:tcPr>
            <w:tcW w:type="dxa" w:w="1700"/>
            <w:tcBorders>
              <w:top w:val="single" w:color="C5D0E0" w:sz="1"/>
              <w:left w:val="single" w:color="C5D0E0" w:sz="1"/>
              <w:bottom w:val="single" w:color="C5D0E0" w:sz="1"/>
              <w:right w:val="single" w:color="C5D0E0" w:sz="1"/>
            </w:tcBorders>
            <w:shd w:fill="555555"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Módulos-chave</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666666"/>
                <w:sz w:val="19"/>
                <w:szCs w:val="19"/>
              </w:rPr>
              <w:t xml:space="preserve">cadastrar_processo.py · gerar_depara.py · ler_planilha.py · DESCOBERTAS_POST_DIRETO_NUBANK.md</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Valor de Mercado Est.</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1B5E20"/>
                <w:sz w:val="19"/>
                <w:szCs w:val="19"/>
              </w:rPr>
              <w:t xml:space="preserve">R$ 15.000 – R$ 25.000</w:t>
            </w:r>
          </w:p>
        </w:tc>
      </w:tr>
      <w:tr>
        <w:tc>
          <w:tcPr>
            <w:tcW w:type="dxa" w:w="9360"/>
            <w:gridSpan w:val="2"/>
            <w:tcBorders>
              <w:top w:val="none" w:color="FFFFFF" w:sz="0"/>
              <w:left w:val="none" w:color="FFFFFF" w:sz="0"/>
              <w:bottom w:val="none" w:color="FFFFFF" w:sz="0"/>
              <w:right w:val="none" w:color="FFFFFF" w:sz="0"/>
            </w:tcBorders>
            <w:shd w:fill="F2F4FA" w:val="clear"/>
            <w:tcMar>
              <w:top w:type="dxa" w:w="12"/>
              <w:left w:type="dxa" w:w="0"/>
              <w:bottom w:type="dxa" w:w="12"/>
              <w:right w:type="dxa" w:w="0"/>
            </w:tcMar>
          </w:tcPr>
          <w:p>
            <w:pPr>
              <w:spacing w:after="0" w:before="0"/>
              <w:jc w:val="center"/>
            </w:pPr>
            <w:r>
              <w:drawing>
                <wp:inline distT="0" distB="0" distL="0" distR="0">
                  <wp:extent cx="5667375" cy="2514600"/>
                  <wp:effectExtent t="0" r="0" b="0" l="0"/>
                  <wp:docPr id="1" name="mockup" descr="Mockup da interface" title="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514600"/>
                          </a:xfrm>
                          <a:prstGeom prst="rect">
                            <a:avLst/>
                          </a:prstGeom>
                        </pic:spPr>
                      </pic:pic>
                    </a:graphicData>
                  </a:graphic>
                </wp:inline>
              </w:drawing>
            </w:r>
          </w:p>
        </w:tc>
      </w:tr>
    </w:tbl>
    <w:p>
      <w:pPr>
        <w:spacing w:after="0" w:before="140"/>
      </w:pPr>
      <w:r>
        <w:rPr>
          <w:rFonts w:ascii="Arial" w:cs="Arial" w:eastAsia="Arial" w:hAnsi="Arial"/>
          <w:b w:val="false"/>
          <w:bCs w:val="false"/>
          <w:i w:val="false"/>
          <w:iCs w:val="false"/>
          <w:color w:val="222222"/>
          <w:sz w:val="22"/>
          <w:szCs w:val="22"/>
        </w:rPr>
        <w:t xml:space="preserve"/>
      </w:r>
    </w:p>
    <w:p>
      <w:pPr>
        <w:spacing w:after="80" w:before="200"/>
      </w:pPr>
      <w:r>
        <w:rPr>
          <w:rFonts w:ascii="Arial" w:cs="Arial" w:eastAsia="Arial" w:hAnsi="Arial"/>
          <w:b/>
          <w:bCs/>
          <w:color w:val="999999"/>
          <w:sz w:val="26"/>
          <w:szCs w:val="26"/>
        </w:rPr>
        <w:t xml:space="preserve">10.  </w:t>
      </w:r>
      <w:r>
        <w:rPr>
          <w:rFonts w:ascii="Arial" w:cs="Arial" w:eastAsia="Arial" w:hAnsi="Arial"/>
          <w:b/>
          <w:bCs/>
          <w:color w:val="1F3864"/>
          <w:sz w:val="26"/>
          <w:szCs w:val="26"/>
        </w:rPr>
        <w:t xml:space="preserve">cadastro_procon_pandora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RPA de Cadastro PROCON — Dual Mode com Revisão (Pandora)</w:t>
            </w:r>
          </w:p>
        </w:tc>
        <w:tc>
          <w:tcPr>
            <w:tcW w:type="dxa" w:w="7660"/>
            <w:tcBorders>
              <w:top w:val="single" w:color="C5D0E0" w:sz="1"/>
              <w:left w:val="single" w:color="C5D0E0" w:sz="1"/>
              <w:bottom w:val="single" w:color="C5D0E0" w:sz="1"/>
              <w:right w:val="single" w:color="C5D0E0" w:sz="1"/>
            </w:tcBorders>
            <w:shd w:fill="D9E2F3" w:val="clear"/>
            <w:tcMar>
              <w:top w:type="dxa" w:w="100"/>
              <w:left w:type="dxa" w:w="160"/>
              <w:bottom w:type="dxa" w:w="100"/>
              <w:right w:type="dxa" w:w="160"/>
            </w:tcMar>
          </w:tcPr>
          <w:p>
            <w:pPr>
              <w:spacing w:after="0" w:before="0"/>
            </w:pPr>
            <w:r>
              <w:rPr>
                <w:rFonts w:ascii="Arial" w:cs="Arial" w:eastAsia="Arial" w:hAnsi="Arial"/>
                <w:color w:val="2E5090"/>
                <w:sz w:val="19"/>
                <w:szCs w:val="19"/>
              </w:rPr>
              <w:t xml:space="preserve"/>
            </w:r>
          </w:p>
        </w:tc>
      </w:tr>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Aplicação Comercial</w:t>
            </w:r>
          </w:p>
        </w:tc>
        <w:tc>
          <w:tcPr>
            <w:tcW w:type="dxa" w:w="7660"/>
            <w:tcBorders>
              <w:top w:val="single" w:color="C5D0E0" w:sz="1"/>
              <w:left w:val="single" w:color="C5D0E0" w:sz="1"/>
              <w:bottom w:val="single" w:color="C5D0E0" w:sz="1"/>
              <w:right w:val="single" w:color="C5D0E0" w:sz="1"/>
            </w:tcBorders>
            <w:shd w:fill="FFFFFF"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A Pandora exige maior cuidado no cadastro de seus processos PROCON, pois o sistema às vezes muda o comportamento da API sem aviso. A ferramenta anterior de POST direto funcionava bem, mas quando a API mudava, toda a operação parava.
Esta versão mais madura resolve isso com arquitetura dual: modo primário via POST direto (rápido) e modo de contingência via interface gráfica (Playwright), com troca automática em caso de falha. Adiciona ainda dois módulos extras: mapear_procon.py para redescoberta de campos quando o sistema muda, e revisar_cadastro.py para auditoria pós-cadastro que compara o que foi enviado com o que ficou registrado. É a solução mais completa e resiliente do portfólio para cadastro PROCON.</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Impacto</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Resiliência operacional com dois modos de cadastro. Módulo de revisão garante qualidade dos registros. Auto-recuperação em mudanças de API.</w:t>
            </w:r>
          </w:p>
        </w:tc>
      </w:tr>
      <w:tr>
        <w:tc>
          <w:tcPr>
            <w:tcW w:type="dxa" w:w="1700"/>
            <w:tcBorders>
              <w:top w:val="single" w:color="C5D0E0" w:sz="1"/>
              <w:left w:val="single" w:color="C5D0E0" w:sz="1"/>
              <w:bottom w:val="single" w:color="C5D0E0" w:sz="1"/>
              <w:right w:val="single" w:color="C5D0E0" w:sz="1"/>
            </w:tcBorders>
            <w:shd w:fill="44444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Stack</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555555"/>
                <w:sz w:val="19"/>
                <w:szCs w:val="19"/>
              </w:rPr>
              <w:t xml:space="preserve">Python, Flask, Playwright + Requests (dual mode), openpyxl</w:t>
            </w:r>
          </w:p>
        </w:tc>
      </w:tr>
      <w:tr>
        <w:tc>
          <w:tcPr>
            <w:tcW w:type="dxa" w:w="1700"/>
            <w:tcBorders>
              <w:top w:val="single" w:color="C5D0E0" w:sz="1"/>
              <w:left w:val="single" w:color="C5D0E0" w:sz="1"/>
              <w:bottom w:val="single" w:color="C5D0E0" w:sz="1"/>
              <w:right w:val="single" w:color="C5D0E0" w:sz="1"/>
            </w:tcBorders>
            <w:shd w:fill="555555"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Módulos-chave</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666666"/>
                <w:sz w:val="19"/>
                <w:szCs w:val="19"/>
              </w:rPr>
              <w:t xml:space="preserve">cadastrar_processo.py · mapear_procon.py · revisar_cadastro.py · DESCOBERTAS_POST_DIRETO.md</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Valor de Mercado Est.</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1B5E20"/>
                <w:sz w:val="19"/>
                <w:szCs w:val="19"/>
              </w:rPr>
              <w:t xml:space="preserve">R$ 15.000 – R$ 25.000</w:t>
            </w:r>
          </w:p>
        </w:tc>
      </w:tr>
      <w:tr>
        <w:tc>
          <w:tcPr>
            <w:tcW w:type="dxa" w:w="9360"/>
            <w:gridSpan w:val="2"/>
            <w:tcBorders>
              <w:top w:val="none" w:color="FFFFFF" w:sz="0"/>
              <w:left w:val="none" w:color="FFFFFF" w:sz="0"/>
              <w:bottom w:val="none" w:color="FFFFFF" w:sz="0"/>
              <w:right w:val="none" w:color="FFFFFF" w:sz="0"/>
            </w:tcBorders>
            <w:shd w:fill="F2F4FA" w:val="clear"/>
            <w:tcMar>
              <w:top w:type="dxa" w:w="12"/>
              <w:left w:type="dxa" w:w="0"/>
              <w:bottom w:type="dxa" w:w="12"/>
              <w:right w:type="dxa" w:w="0"/>
            </w:tcMar>
          </w:tcPr>
          <w:p>
            <w:pPr>
              <w:spacing w:after="0" w:before="0"/>
              <w:jc w:val="center"/>
            </w:pPr>
            <w:r>
              <w:drawing>
                <wp:inline distT="0" distB="0" distL="0" distR="0">
                  <wp:extent cx="5667375" cy="2514600"/>
                  <wp:effectExtent t="0" r="0" b="0" l="0"/>
                  <wp:docPr id="1" name="mockup" descr="Mockup da interface" title="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514600"/>
                          </a:xfrm>
                          <a:prstGeom prst="rect">
                            <a:avLst/>
                          </a:prstGeom>
                        </pic:spPr>
                      </pic:pic>
                    </a:graphicData>
                  </a:graphic>
                </wp:inline>
              </w:drawing>
            </w:r>
          </w:p>
        </w:tc>
      </w:tr>
    </w:tbl>
    <w:p>
      <w:pPr>
        <w:spacing w:after="0" w:before="140"/>
      </w:pPr>
      <w:r>
        <w:rPr>
          <w:rFonts w:ascii="Arial" w:cs="Arial" w:eastAsia="Arial" w:hAnsi="Arial"/>
          <w:b w:val="false"/>
          <w:bCs w:val="false"/>
          <w:i w:val="false"/>
          <w:iCs w:val="false"/>
          <w:color w:val="222222"/>
          <w:sz w:val="22"/>
          <w:szCs w:val="22"/>
        </w:rPr>
        <w:t xml:space="preserve"/>
      </w:r>
    </w:p>
    <w:p>
      <w:pPr>
        <w:spacing w:after="80" w:before="200"/>
      </w:pPr>
      <w:r>
        <w:rPr>
          <w:rFonts w:ascii="Arial" w:cs="Arial" w:eastAsia="Arial" w:hAnsi="Arial"/>
          <w:b/>
          <w:bCs/>
          <w:color w:val="999999"/>
          <w:sz w:val="26"/>
          <w:szCs w:val="26"/>
        </w:rPr>
        <w:t xml:space="preserve">11.  </w:t>
      </w:r>
      <w:r>
        <w:rPr>
          <w:rFonts w:ascii="Arial" w:cs="Arial" w:eastAsia="Arial" w:hAnsi="Arial"/>
          <w:b/>
          <w:bCs/>
          <w:color w:val="1F3864"/>
          <w:sz w:val="26"/>
          <w:szCs w:val="26"/>
        </w:rPr>
        <w:t xml:space="preserve">ComplementoCadastro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Utilitário de Complementação de Dados em Cadastros Existentes</w:t>
            </w:r>
          </w:p>
        </w:tc>
        <w:tc>
          <w:tcPr>
            <w:tcW w:type="dxa" w:w="7660"/>
            <w:tcBorders>
              <w:top w:val="single" w:color="C5D0E0" w:sz="1"/>
              <w:left w:val="single" w:color="C5D0E0" w:sz="1"/>
              <w:bottom w:val="single" w:color="C5D0E0" w:sz="1"/>
              <w:right w:val="single" w:color="C5D0E0" w:sz="1"/>
            </w:tcBorders>
            <w:shd w:fill="D9E2F3" w:val="clear"/>
            <w:tcMar>
              <w:top w:type="dxa" w:w="100"/>
              <w:left w:type="dxa" w:w="160"/>
              <w:bottom w:type="dxa" w:w="100"/>
              <w:right w:type="dxa" w:w="160"/>
            </w:tcMar>
          </w:tcPr>
          <w:p>
            <w:pPr>
              <w:spacing w:after="0" w:before="0"/>
            </w:pPr>
            <w:r>
              <w:rPr>
                <w:rFonts w:ascii="Arial" w:cs="Arial" w:eastAsia="Arial" w:hAnsi="Arial"/>
                <w:color w:val="2E5090"/>
                <w:sz w:val="19"/>
                <w:szCs w:val="19"/>
              </w:rPr>
              <w:t xml:space="preserve"/>
            </w:r>
          </w:p>
        </w:tc>
      </w:tr>
      <w:tr>
        <w:tc>
          <w:tcPr>
            <w:tcW w:type="dxa" w:w="1700"/>
            <w:tcBorders>
              <w:top w:val="single" w:color="C5D0E0" w:sz="1"/>
              <w:left w:val="single" w:color="C5D0E0" w:sz="1"/>
              <w:bottom w:val="single" w:color="C5D0E0" w:sz="1"/>
              <w:right w:val="single" w:color="C5D0E0" w:sz="1"/>
            </w:tcBorders>
            <w:shd w:fill="1F386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Aplicação Comercial</w:t>
            </w:r>
          </w:p>
        </w:tc>
        <w:tc>
          <w:tcPr>
            <w:tcW w:type="dxa" w:w="7660"/>
            <w:tcBorders>
              <w:top w:val="single" w:color="C5D0E0" w:sz="1"/>
              <w:left w:val="single" w:color="C5D0E0" w:sz="1"/>
              <w:bottom w:val="single" w:color="C5D0E0" w:sz="1"/>
              <w:right w:val="single" w:color="C5D0E0" w:sz="1"/>
            </w:tcBorders>
            <w:shd w:fill="FFFFFF"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Após o cadastro em massa, é comum que alguns campos opcionais fiquem em branco ou que dados precisem ser atualizados em processos já existentes no sistema. Fazer isso processo a processo manualmente gera retrabalho para a equipe.
Esta ferramenta atua como pós-processador nos fluxos de cadastro. Lê uma lista de processos com os campos que precisam ser completados ou corrigidos, acessa o sistema e faz as complementações automaticamente, sem mexer nos campos já preenchidos. As saídas ficam em pasta local para revisão antes de qualquer envio. Ideal para operações de higienização de dados ou atualização de lotes já cadastrados.</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Impacto</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333333"/>
                <w:sz w:val="19"/>
                <w:szCs w:val="19"/>
              </w:rPr>
              <w:t xml:space="preserve">Complementa e corrige cadastros existentes sem risco de sobrescrever dados válidos. Opera como etapa de pós-processamento nos fluxos de RPA.</w:t>
            </w:r>
          </w:p>
        </w:tc>
      </w:tr>
      <w:tr>
        <w:tc>
          <w:tcPr>
            <w:tcW w:type="dxa" w:w="1700"/>
            <w:tcBorders>
              <w:top w:val="single" w:color="C5D0E0" w:sz="1"/>
              <w:left w:val="single" w:color="C5D0E0" w:sz="1"/>
              <w:bottom w:val="single" w:color="C5D0E0" w:sz="1"/>
              <w:right w:val="single" w:color="C5D0E0" w:sz="1"/>
            </w:tcBorders>
            <w:shd w:fill="444444"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Stack</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555555"/>
                <w:sz w:val="19"/>
                <w:szCs w:val="19"/>
              </w:rPr>
              <w:t xml:space="preserve">Python, Flask</w:t>
            </w:r>
          </w:p>
        </w:tc>
      </w:tr>
      <w:tr>
        <w:tc>
          <w:tcPr>
            <w:tcW w:type="dxa" w:w="1700"/>
            <w:tcBorders>
              <w:top w:val="single" w:color="C5D0E0" w:sz="1"/>
              <w:left w:val="single" w:color="C5D0E0" w:sz="1"/>
              <w:bottom w:val="single" w:color="C5D0E0" w:sz="1"/>
              <w:right w:val="single" w:color="C5D0E0" w:sz="1"/>
            </w:tcBorders>
            <w:shd w:fill="555555"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Módulos-chave</w:t>
            </w:r>
          </w:p>
        </w:tc>
        <w:tc>
          <w:tcPr>
            <w:tcW w:type="dxa" w:w="7660"/>
            <w:tcBorders>
              <w:top w:val="single" w:color="C5D0E0" w:sz="1"/>
              <w:left w:val="single" w:color="C5D0E0" w:sz="1"/>
              <w:bottom w:val="single" w:color="C5D0E0" w:sz="1"/>
              <w:right w:val="single" w:color="C5D0E0" w:sz="1"/>
            </w:tcBorders>
            <w:shd w:fill="F5F6FA" w:val="clear"/>
            <w:tcMar>
              <w:top w:type="dxa" w:w="100"/>
              <w:left w:type="dxa" w:w="160"/>
              <w:bottom w:type="dxa" w:w="100"/>
              <w:right w:type="dxa" w:w="160"/>
            </w:tcMar>
          </w:tcPr>
          <w:p>
            <w:pPr>
              <w:spacing w:after="0" w:before="0"/>
            </w:pPr>
            <w:r>
              <w:rPr>
                <w:rFonts w:ascii="Arial" w:cs="Arial" w:eastAsia="Arial" w:hAnsi="Arial"/>
                <w:color w:val="666666"/>
                <w:sz w:val="19"/>
                <w:szCs w:val="19"/>
              </w:rPr>
              <w:t xml:space="preserve">app.py · rodar_app.bat</w:t>
            </w:r>
          </w:p>
        </w:tc>
      </w:tr>
      <w:tr>
        <w:tc>
          <w:tcPr>
            <w:tcW w:type="dxa" w:w="1700"/>
            <w:tcBorders>
              <w:top w:val="single" w:color="C5D0E0" w:sz="1"/>
              <w:left w:val="single" w:color="C5D0E0" w:sz="1"/>
              <w:bottom w:val="single" w:color="C5D0E0" w:sz="1"/>
              <w:right w:val="single" w:color="C5D0E0" w:sz="1"/>
            </w:tcBorders>
            <w:shd w:fill="1B5E20" w:val="clear"/>
            <w:tcMar>
              <w:top w:type="dxa" w:w="100"/>
              <w:left w:type="dxa" w:w="160"/>
              <w:bottom w:type="dxa" w:w="100"/>
              <w:right w:type="dxa" w:w="160"/>
            </w:tcMar>
            <w:vAlign w:val="center"/>
          </w:tcPr>
          <w:p>
            <w:pPr>
              <w:spacing w:after="0" w:before="0"/>
            </w:pPr>
            <w:r>
              <w:rPr>
                <w:rFonts w:ascii="Arial" w:cs="Arial" w:eastAsia="Arial" w:hAnsi="Arial"/>
                <w:b/>
                <w:bCs/>
                <w:color w:val="FFFFFF"/>
                <w:sz w:val="19"/>
                <w:szCs w:val="19"/>
              </w:rPr>
              <w:t xml:space="preserve">Valor de Mercado Est.</w:t>
            </w:r>
          </w:p>
        </w:tc>
        <w:tc>
          <w:tcPr>
            <w:tcW w:type="dxa" w:w="7660"/>
            <w:tcBorders>
              <w:top w:val="single" w:color="C5D0E0" w:sz="1"/>
              <w:left w:val="single" w:color="C5D0E0" w:sz="1"/>
              <w:bottom w:val="single" w:color="C5D0E0" w:sz="1"/>
              <w:right w:val="single" w:color="C5D0E0" w:sz="1"/>
            </w:tcBorders>
            <w:shd w:fill="E8F5E9" w:val="clear"/>
            <w:tcMar>
              <w:top w:type="dxa" w:w="100"/>
              <w:left w:type="dxa" w:w="160"/>
              <w:bottom w:type="dxa" w:w="100"/>
              <w:right w:type="dxa" w:w="160"/>
            </w:tcMar>
          </w:tcPr>
          <w:p>
            <w:pPr>
              <w:spacing w:after="0" w:before="0"/>
            </w:pPr>
            <w:r>
              <w:rPr>
                <w:rFonts w:ascii="Arial" w:cs="Arial" w:eastAsia="Arial" w:hAnsi="Arial"/>
                <w:color w:val="1B5E20"/>
                <w:sz w:val="19"/>
                <w:szCs w:val="19"/>
              </w:rPr>
              <w:t xml:space="preserve">R$ 8.000 – R$ 12.000</w:t>
            </w:r>
          </w:p>
        </w:tc>
      </w:tr>
    </w:tbl>
    <w:p>
      <w:pPr>
        <w:spacing w:after="0" w:before="140"/>
      </w:pPr>
      <w:r>
        <w:rPr>
          <w:rFonts w:ascii="Arial" w:cs="Arial" w:eastAsia="Arial" w:hAnsi="Arial"/>
          <w:b w:val="false"/>
          <w:bCs w:val="false"/>
          <w:i w:val="false"/>
          <w:iCs w:val="false"/>
          <w:color w:val="222222"/>
          <w:sz w:val="22"/>
          <w:szCs w:val="22"/>
        </w:rPr>
        <w:t xml:space="preserve"/>
      </w:r>
    </w:p>
    <w:p>
      <w:pPr>
        <w:pBdr>
          <w:bottom w:val="single" w:color="1F3864" w:sz="8" w:space="4"/>
        </w:pBdr>
        <w:spacing w:after="120" w:before="280"/>
      </w:pPr>
      <w:r>
        <w:rPr>
          <w:rFonts w:ascii="Arial" w:cs="Arial" w:eastAsia="Arial" w:hAnsi="Arial"/>
          <w:b/>
          <w:bCs/>
          <w:color w:val="1F3864"/>
          <w:sz w:val="32"/>
          <w:szCs w:val="32"/>
        </w:rPr>
        <w:t xml:space="preserve">Considerações Finais</w:t>
      </w:r>
    </w:p>
    <w:p>
      <w:pPr>
        <w:spacing w:after="60" w:before="60"/>
      </w:pPr>
      <w:r>
        <w:rPr>
          <w:rFonts w:ascii="Arial" w:cs="Arial" w:eastAsia="Arial" w:hAnsi="Arial"/>
          <w:b w:val="false"/>
          <w:bCs w:val="false"/>
          <w:i w:val="false"/>
          <w:iCs w:val="false"/>
          <w:color w:val="444444"/>
          <w:sz w:val="22"/>
          <w:szCs w:val="22"/>
        </w:rPr>
        <w:t xml:space="preserve">O portfólio demonstra domínio de tecnologias avançadas raramente combinadas em um único profissional do setor jurídico: </w:t>
      </w:r>
      <w:r>
        <w:rPr>
          <w:rFonts w:ascii="Arial" w:cs="Arial" w:eastAsia="Arial" w:hAnsi="Arial"/>
          <w:b/>
          <w:bCs/>
          <w:i w:val="false"/>
          <w:iCs w:val="false"/>
          <w:color w:val="1F3864"/>
          <w:sz w:val="22"/>
          <w:szCs w:val="22"/>
        </w:rPr>
        <w:t xml:space="preserve">engenharia reversa de APIs PrimeFaces/JSF</w:t>
      </w:r>
      <w:r>
        <w:rPr>
          <w:rFonts w:ascii="Arial" w:cs="Arial" w:eastAsia="Arial" w:hAnsi="Arial"/>
          <w:b w:val="false"/>
          <w:bCs w:val="false"/>
          <w:i w:val="false"/>
          <w:iCs w:val="false"/>
          <w:color w:val="444444"/>
          <w:sz w:val="22"/>
          <w:szCs w:val="22"/>
        </w:rPr>
        <w:t xml:space="preserve">, </w:t>
      </w:r>
      <w:r>
        <w:rPr>
          <w:rFonts w:ascii="Arial" w:cs="Arial" w:eastAsia="Arial" w:hAnsi="Arial"/>
          <w:b/>
          <w:bCs/>
          <w:i w:val="false"/>
          <w:iCs w:val="false"/>
          <w:color w:val="1F3864"/>
          <w:sz w:val="22"/>
          <w:szCs w:val="22"/>
        </w:rPr>
        <w:t xml:space="preserve">Chrome CDP para automação com certificado digital</w:t>
      </w:r>
      <w:r>
        <w:rPr>
          <w:rFonts w:ascii="Arial" w:cs="Arial" w:eastAsia="Arial" w:hAnsi="Arial"/>
          <w:b w:val="false"/>
          <w:bCs w:val="false"/>
          <w:i w:val="false"/>
          <w:iCs w:val="false"/>
          <w:color w:val="444444"/>
          <w:sz w:val="22"/>
          <w:szCs w:val="22"/>
        </w:rPr>
        <w:t xml:space="preserve">, </w:t>
      </w:r>
      <w:r>
        <w:rPr>
          <w:rFonts w:ascii="Arial" w:cs="Arial" w:eastAsia="Arial" w:hAnsi="Arial"/>
          <w:b/>
          <w:bCs/>
          <w:i w:val="false"/>
          <w:iCs w:val="false"/>
          <w:color w:val="1F3864"/>
          <w:sz w:val="22"/>
          <w:szCs w:val="22"/>
        </w:rPr>
        <w:t xml:space="preserve">extensões Chrome com OCR em WebAssembly</w:t>
      </w:r>
      <w:r>
        <w:rPr>
          <w:rFonts w:ascii="Arial" w:cs="Arial" w:eastAsia="Arial" w:hAnsi="Arial"/>
          <w:b w:val="false"/>
          <w:bCs w:val="false"/>
          <w:i w:val="false"/>
          <w:iCs w:val="false"/>
          <w:color w:val="444444"/>
          <w:sz w:val="22"/>
          <w:szCs w:val="22"/>
        </w:rPr>
        <w:t xml:space="preserve"> e automação multiportal.</w:t>
      </w:r>
    </w:p>
    <w:p>
      <w:pPr>
        <w:spacing w:after="0" w:before="140"/>
      </w:pPr>
      <w:r>
        <w:rPr>
          <w:rFonts w:ascii="Arial" w:cs="Arial" w:eastAsia="Arial" w:hAnsi="Arial"/>
          <w:b w:val="false"/>
          <w:bCs w:val="false"/>
          <w:i w:val="false"/>
          <w:iCs w:val="false"/>
          <w:color w:val="222222"/>
          <w:sz w:val="22"/>
          <w:szCs w:val="22"/>
        </w:rPr>
        <w:t xml:space="preserve"/>
      </w:r>
    </w:p>
    <w:p>
      <w:pPr>
        <w:spacing w:after="60" w:before="60"/>
      </w:pPr>
      <w:r>
        <w:rPr>
          <w:rFonts w:ascii="Arial" w:cs="Arial" w:eastAsia="Arial" w:hAnsi="Arial"/>
          <w:b w:val="false"/>
          <w:bCs w:val="false"/>
          <w:i w:val="false"/>
          <w:iCs w:val="false"/>
          <w:color w:val="444444"/>
          <w:sz w:val="22"/>
          <w:szCs w:val="22"/>
        </w:rPr>
        <w:t xml:space="preserve">Comercialmente, cada ferramenta resolve um problema real e mensurável: </w:t>
      </w:r>
      <w:r>
        <w:rPr>
          <w:rFonts w:ascii="Arial" w:cs="Arial" w:eastAsia="Arial" w:hAnsi="Arial"/>
          <w:b/>
          <w:bCs/>
          <w:i w:val="false"/>
          <w:iCs w:val="false"/>
          <w:color w:val="1B5E20"/>
          <w:sz w:val="22"/>
          <w:szCs w:val="22"/>
        </w:rPr>
        <w:t xml:space="preserve">horas de trabalho manual eliminadas</w:t>
      </w:r>
      <w:r>
        <w:rPr>
          <w:rFonts w:ascii="Arial" w:cs="Arial" w:eastAsia="Arial" w:hAnsi="Arial"/>
          <w:b w:val="false"/>
          <w:bCs w:val="false"/>
          <w:i w:val="false"/>
          <w:iCs w:val="false"/>
          <w:color w:val="444444"/>
          <w:sz w:val="22"/>
          <w:szCs w:val="22"/>
        </w:rPr>
        <w:t xml:space="preserve">, erros de cadastro reduzidos, rastreabilidade de tarefas garantida e cobertura de múltiplos clientes e sistemas em uma única stack. As estimativas de valor refletem o custo de desenvolvimento equivalente por uma empresa especializada em legal tech.</w:t>
      </w:r>
    </w:p>
    <w:p>
      <w:pPr>
        <w:spacing w:after="0" w:before="140"/>
      </w:pPr>
      <w:r>
        <w:rPr>
          <w:rFonts w:ascii="Arial" w:cs="Arial" w:eastAsia="Arial" w:hAnsi="Arial"/>
          <w:b w:val="false"/>
          <w:bCs w:val="false"/>
          <w:i w:val="false"/>
          <w:iCs w:val="false"/>
          <w:color w:val="222222"/>
          <w:sz w:val="22"/>
          <w:szCs w:val="22"/>
        </w:rPr>
        <w:t xml:space="preserve"/>
      </w:r>
    </w:p>
    <w:p>
      <w:pPr>
        <w:spacing w:after="0" w:before="100"/>
        <w:jc w:val="right"/>
      </w:pPr>
      <w:r>
        <w:rPr>
          <w:rFonts w:ascii="Arial" w:cs="Arial" w:eastAsia="Arial" w:hAnsi="Arial"/>
          <w:i/>
          <w:iCs/>
          <w:color w:val="888888"/>
          <w:sz w:val="20"/>
          <w:szCs w:val="20"/>
        </w:rPr>
        <w:t xml:space="preserve">Ingrid Clemencia Santos — Coordenadora da Controladoria Digital</w:t>
      </w:r>
    </w:p>
    <w:p>
      <w:pPr>
        <w:spacing w:after="0" w:before="20"/>
        <w:jc w:val="right"/>
      </w:pPr>
      <w:r>
        <w:rPr>
          <w:rFonts w:ascii="Arial" w:cs="Arial" w:eastAsia="Arial" w:hAnsi="Arial"/>
          <w:color w:val="aaaaaa"/>
          <w:sz w:val="18"/>
          <w:szCs w:val="18"/>
        </w:rPr>
        <w:t xml:space="preserve">Viseu Advogados  ·  Junho 2026</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E0" w:sz="4" w:space="4"/>
      </w:pBdr>
      <w:jc w:val="center"/>
    </w:pPr>
    <w:r>
      <w:rPr>
        <w:rFonts w:ascii="Arial" w:cs="Arial" w:eastAsia="Arial" w:hAnsi="Arial"/>
        <w:color w:val="999999"/>
        <w:sz w:val="17"/>
        <w:szCs w:val="17"/>
      </w:rPr>
      <w:t xml:space="preserve">Ingrid Clemencia Santos  |  iclemencia@viseu.com.br  |  Página </w:t>
    </w:r>
    <w:r>
      <w:rPr>
        <w:rFonts w:ascii="Arial" w:cs="Arial" w:eastAsia="Arial" w:hAnsi="Arial"/>
        <w:color w:val="999999"/>
        <w:sz w:val="17"/>
        <w:szCs w:val="17"/>
      </w:rPr>
      <w:fldChar w:fldCharType="begin"/>
      <w:instrText xml:space="preserve">PAGE</w:instrText>
      <w:fldChar w:fldCharType="separate"/>
      <w:fldChar w:fldCharType="end"/>
    </w:r>
    <w:r>
      <w:rPr>
        <w:rFonts w:ascii="Arial" w:cs="Arial" w:eastAsia="Arial" w:hAnsi="Arial"/>
        <w:color w:val="999999"/>
        <w:sz w:val="17"/>
        <w:szCs w:val="17"/>
      </w:rPr>
      <w:t xml:space="preserve"> de </w:t>
    </w:r>
    <w:r>
      <w:rPr>
        <w:rFonts w:ascii="Arial" w:cs="Arial" w:eastAsia="Arial" w:hAnsi="Arial"/>
        <w:color w:val="99999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4" w:space="4"/>
      </w:pBdr>
      <w:jc w:val="right"/>
    </w:pPr>
    <w:r>
      <w:rPr>
        <w:rFonts w:ascii="Arial" w:cs="Arial" w:eastAsia="Arial" w:hAnsi="Arial"/>
        <w:i/>
        <w:iCs/>
        <w:color w:val="2E5090"/>
        <w:sz w:val="17"/>
        <w:szCs w:val="17"/>
      </w:rPr>
      <w:t xml:space="preserve">Portfólio de Automações · Viseu Advogados · Controladoria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1162d761fe20bf85178f1dc138f5290c9ea28af.png"/><Relationship Id="rId10" Type="http://schemas.openxmlformats.org/officeDocument/2006/relationships/image" Target="media/f1cb19a90d4748c3128dff532dacb3f941cf22ba.png"/><Relationship Id="rId11" Type="http://schemas.openxmlformats.org/officeDocument/2006/relationships/image" Target="media/d96c04a77a3975b7a128fc471a0c4bb379279ddd.png"/><Relationship Id="rId12" Type="http://schemas.openxmlformats.org/officeDocument/2006/relationships/image" Target="media/e04f797bbde96dee03835ea8fe957a3717057933.png"/><Relationship Id="rId13" Type="http://schemas.openxmlformats.org/officeDocument/2006/relationships/image" Target="media/ca881a01cc4f2d81b371e6257326cf717e5efd41.png"/><Relationship Id="rId14" Type="http://schemas.openxmlformats.org/officeDocument/2006/relationships/image" Target="media/ed7ab30101b9a8250c366c3bffbd0bf628f72aa5.png"/><Relationship Id="rId15" Type="http://schemas.openxmlformats.org/officeDocument/2006/relationships/image" Target="media/3f31db8f48f7b4c0ecc65cd907e29e7c046af6a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2026-06-26T15:18:07.741Z</dcterms:created>
  <dcterms:modified xsi:type="dcterms:W3CDTF">2026-06-26T15:18:07.754Z</dcterms:modified>
</cp:coreProperties>
</file>

<file path=docProps/custom.xml><?xml version="1.0" encoding="utf-8"?>
<Properties xmlns="http://schemas.openxmlformats.org/officeDocument/2006/custom-properties" xmlns:vt="http://schemas.openxmlformats.org/officeDocument/2006/docPropsVTypes"/>
</file>