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jc w:val="center"/>
        <w:tblW w:w="5000" w:type="pct"/>
        <w:tbl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single" w:color="4f81bd" w:sz="8" w:space="0"/>
          <w:insideV w:val="single" w:color="4f81bd" w:sz="8" w:space="0"/>
        </w:tblBorders>
        <w:tblLook w:val="04A0" w:firstRow="1" w:lastRow="0" w:firstColumn="1" w:lastColumn="0" w:noHBand="0" w:noVBand="1"/>
      </w:tblPr>
      <w:tblGrid>
        <w:gridCol w:w="4292"/>
        <w:gridCol w:w="4714"/>
      </w:tblGrid>
      <w:tr>
        <w:trPr>
          <w:jc w:val="center"/>
          <w:trHeight w:val="137"/>
        </w:trPr>
        <w:tc>
          <w:tcPr>
            <w:gridSpan w:val="2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W w:w="5000" w:type="pct"/>
            <w:textDirection w:val="lrTb"/>
            <w:noWrap w:val="false"/>
          </w:tcPr>
          <w:p w14:paraId="64674BF3" w14:textId="07CE7082">
            <w:pPr>
              <w:pBdr>
                <w:top w:val="single" w:color="000000" w:sz="4" w:space="1"/>
                <w:left w:val="single" w:color="000000" w:sz="4" w:space="4"/>
                <w:bottom w:val="single" w:color="000000" w:sz="4" w:space="1"/>
                <w:right w:val="single" w:color="000000" w:sz="4" w:space="4"/>
              </w:pBdr>
              <w:shd w:val="clear" w:color="auto" w:fill="e2efd9" w:themeFill="accent6" w:themeFillTint="33"/>
              <w:spacing/>
              <w:ind/>
              <w:jc w:val="center"/>
              <w:rPr>
                <w:rFonts w:ascii="Arial Narrow" w:hAnsi="Arial Narrow" w:eastAsia="Calibri" w:cs="Calibri"/>
                <w:b/>
                <w:bCs/>
                <w:color w:val="002060"/>
                <w:spacing w:val="10"/>
                <w:sz w:val="40"/>
                <w:szCs w:val="28"/>
                <w14:textOutline w14:w="9525" w14:cap="flat" w14:cmpd="sng" w14:algn="ctr">
                  <w14:solidFill>
                    <w14:schemeClr w14:val="accent1"/>
                  </w14:solidFill>
                  <w14:prstDash w14:val="solid"/>
                  <w14:round/>
                </w14:textOutline>
              </w:rPr>
            </w:pPr>
            <w:r>
              <w:rPr>
                <w:rFonts w:ascii="Arial Narrow" w:hAnsi="Arial Narrow" w:eastAsia="Calibri" w:cs="Calibri"/>
                <w:b/>
                <w:bCs/>
                <w:color w:val="002060"/>
                <w:spacing w:val="10"/>
                <w:sz w:val="40"/>
                <w:szCs w:val="28"/>
                <w14:textOutline w14:w="9525" w14:cap="flat" w14:cmpd="sng" w14:algn="ctr">
                  <w14:solidFill>
                    <w14:schemeClr w14:val="accent1"/>
                  </w14:solidFill>
                  <w14:prstDash w14:val="solid"/>
                  <w14:round/>
                </w14:textOutline>
              </w:rPr>
              <w:t xml:space="preserve">PRE - SYLLABUS  – Cours </w:t>
            </w:r>
            <w:r>
              <w:rPr>
                <w:rFonts w:ascii="Arial Narrow" w:hAnsi="Arial Narrow" w:eastAsia="Arial Narrow" w:cs="Arial Narrow"/>
                <w:b/>
                <w:bCs/>
                <w:color w:val="44546a" w:themeColor="text2"/>
                <w:sz w:val="40"/>
                <w:szCs w:val="40"/>
              </w:rPr>
              <w:t xml:space="preserve">Mobile Money &amp; Interopérabilité des systèmes de paiement</w:t>
            </w:r>
            <w:r>
              <w:rPr>
                <w:rFonts w:ascii="Arial Narrow" w:hAnsi="Arial Narrow" w:eastAsia="Calibri" w:cs="Calibri"/>
                <w:b/>
                <w:bCs/>
                <w:color w:val="002060"/>
                <w:spacing w:val="10"/>
                <w:sz w:val="40"/>
                <w:szCs w:val="28"/>
                <w14:textOutline w14:w="9525" w14:cap="flat" w14:cmpd="sng" w14:algn="ctr">
                  <w14:solidFill>
                    <w14:schemeClr w14:val="accent1"/>
                  </w14:solidFill>
                  <w14:prstDash w14:val="solid"/>
                  <w14:round/>
                </w14:textOutline>
              </w:rPr>
            </w:r>
            <w:r>
              <w:rPr>
                <w:rFonts w:ascii="Arial Narrow" w:hAnsi="Arial Narrow" w:eastAsia="Calibri" w:cs="Calibri"/>
                <w:b/>
                <w:bCs/>
                <w:color w:val="002060"/>
                <w:spacing w:val="10"/>
                <w:sz w:val="40"/>
                <w:szCs w:val="28"/>
                <w14:textOutline w14:w="9525" w14:cap="flat" w14:cmpd="sng" w14:algn="ctr">
                  <w14:solidFill>
                    <w14:schemeClr w14:val="accent1"/>
                  </w14:solidFill>
                  <w14:prstDash w14:val="solid"/>
                  <w14:round/>
                </w14:textOutline>
              </w:rPr>
            </w:r>
          </w:p>
        </w:tc>
      </w:tr>
    </w:tbl>
    <w:p w14:paraId="0CE9A3A3" w14:textId="32F6EF20">
      <w:pPr>
        <w:pBdr/>
        <w:spacing w:after="0" w:line="240" w:lineRule="auto"/>
        <w:ind/>
        <w:rPr>
          <w:rFonts w:ascii="Times New Roman" w:hAnsi="Times New Roman" w:eastAsia="Times New Roman" w:cs="Arial"/>
          <w:b/>
          <w:bCs/>
          <w:color w:val="002060"/>
          <w:sz w:val="16"/>
          <w:szCs w:val="16"/>
        </w:rPr>
      </w:pPr>
      <w:r>
        <w:rPr>
          <w:rFonts w:ascii="Times New Roman" w:hAnsi="Times New Roman" w:eastAsia="Times New Roman" w:cs="Arial"/>
          <w:b/>
          <w:bCs/>
          <w:color w:val="002060"/>
          <w:sz w:val="16"/>
          <w:szCs w:val="16"/>
        </w:rPr>
      </w:r>
      <w:r>
        <w:rPr>
          <w:rFonts w:ascii="Times New Roman" w:hAnsi="Times New Roman" w:eastAsia="Times New Roman" w:cs="Arial"/>
          <w:b/>
          <w:bCs/>
          <w:color w:val="002060"/>
          <w:sz w:val="16"/>
          <w:szCs w:val="16"/>
        </w:rPr>
      </w:r>
      <w:r>
        <w:rPr>
          <w:rFonts w:ascii="Times New Roman" w:hAnsi="Times New Roman" w:eastAsia="Times New Roman" w:cs="Arial"/>
          <w:b/>
          <w:bCs/>
          <w:color w:val="002060"/>
          <w:sz w:val="16"/>
          <w:szCs w:val="16"/>
        </w:rPr>
      </w:r>
    </w:p>
    <w:p w14:paraId="464063DC" w14:textId="2F43C278">
      <w:pPr>
        <w:pBdr/>
        <w:spacing w:after="0" w:line="240" w:lineRule="auto"/>
        <w:ind/>
        <w:rPr>
          <w:rFonts w:ascii="Times New Roman" w:hAnsi="Times New Roman" w:eastAsia="Times New Roman" w:cs="Arial"/>
          <w:b/>
          <w:bCs/>
          <w:color w:val="002060"/>
          <w:sz w:val="16"/>
          <w:szCs w:val="16"/>
        </w:rPr>
      </w:pPr>
      <w:r>
        <w:rPr>
          <w:rFonts w:ascii="Times New Roman" w:hAnsi="Times New Roman" w:eastAsia="Times New Roman" w:cs="Arial"/>
          <w:b/>
          <w:bCs/>
          <w:color w:val="002060"/>
          <w:sz w:val="16"/>
          <w:szCs w:val="16"/>
        </w:rPr>
      </w:r>
      <w:r>
        <w:rPr>
          <w:rFonts w:ascii="Times New Roman" w:hAnsi="Times New Roman" w:eastAsia="Times New Roman" w:cs="Arial"/>
          <w:b/>
          <w:bCs/>
          <w:color w:val="002060"/>
          <w:sz w:val="16"/>
          <w:szCs w:val="16"/>
        </w:rPr>
      </w:r>
      <w:r>
        <w:rPr>
          <w:rFonts w:ascii="Times New Roman" w:hAnsi="Times New Roman" w:eastAsia="Times New Roman" w:cs="Arial"/>
          <w:b/>
          <w:bCs/>
          <w:color w:val="002060"/>
          <w:sz w:val="16"/>
          <w:szCs w:val="16"/>
        </w:rPr>
      </w:r>
    </w:p>
    <w:p w14:paraId="02C4D633" w14:textId="77777777">
      <w:pPr>
        <w:pBdr/>
        <w:spacing w:after="0" w:line="240" w:lineRule="auto"/>
        <w:ind/>
        <w:rPr>
          <w:rFonts w:ascii="Agency FB" w:hAnsi="Agency FB" w:cs="Agency FB"/>
          <w:b/>
          <w:bCs/>
          <w:color w:val="4472c4" w:themeColor="accent1"/>
          <w:highlight w:val="none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40"/>
          <w:szCs w:val="40"/>
        </w:rPr>
        <w:t xml:space="preserve">Note :</w:t>
      </w:r>
      <w:r>
        <w:rPr>
          <w:rFonts w:ascii="Agency FB" w:hAnsi="Agency FB" w:cs="Agency FB"/>
          <w:b/>
          <w:bCs/>
          <w:color w:val="4472c4" w:themeColor="accent1"/>
          <w:highlight w:val="none"/>
        </w:rPr>
      </w:r>
      <w:r>
        <w:rPr>
          <w:rFonts w:ascii="Agency FB" w:hAnsi="Agency FB" w:cs="Agency FB"/>
          <w:b/>
          <w:bCs/>
          <w:color w:val="4472c4" w:themeColor="accent1"/>
          <w:highlight w:val="none"/>
        </w:rPr>
      </w:r>
    </w:p>
    <w:p w14:paraId="149C9234">
      <w:pPr>
        <w:pBdr/>
        <w:spacing w:after="0" w:line="240" w:lineRule="auto"/>
        <w:ind/>
        <w:jc w:val="both"/>
        <w:rPr>
          <w:rFonts w:ascii="Century Gothic" w:hAnsi="Century Gothic" w:cs="Arial"/>
          <w:color w:val="ff0000"/>
          <w:highlight w:val="none"/>
        </w:rPr>
      </w:pPr>
      <w:r>
        <w:rPr>
          <w:rFonts w:ascii="Century Gothic" w:hAnsi="Century Gothic" w:cs="Arial"/>
          <w:bCs/>
          <w:color w:val="ff0000"/>
          <w:highlight w:val="none"/>
        </w:rPr>
        <w:t xml:space="preserve">Il est fortement recommandé à l’intervenant de prendre en compte et de s’inspirer du</w:t>
      </w:r>
      <w:r>
        <w:rPr>
          <w:rFonts w:ascii="Century Gothic" w:hAnsi="Century Gothic" w:cs="Arial"/>
          <w:color w:val="ff0000"/>
          <w:highlight w:val="none"/>
        </w:rPr>
      </w:r>
      <w:r>
        <w:rPr>
          <w:rFonts w:ascii="Century Gothic" w:hAnsi="Century Gothic" w:cs="Arial"/>
          <w:color w:val="ff0000"/>
          <w:highlight w:val="none"/>
        </w:rPr>
      </w:r>
    </w:p>
    <w:p w14:paraId="02912C8E">
      <w:pPr>
        <w:pBdr/>
        <w:spacing w:after="0" w:line="240" w:lineRule="auto"/>
        <w:ind/>
        <w:jc w:val="both"/>
        <w:rPr>
          <w:rFonts w:ascii="Century Gothic" w:hAnsi="Century Gothic" w:cs="Arial"/>
          <w:b/>
          <w:bCs/>
          <w:color w:val="002060"/>
          <w:sz w:val="40"/>
          <w:szCs w:val="40"/>
        </w:rPr>
      </w:pPr>
      <w:r>
        <w:rPr>
          <w:rFonts w:ascii="Century Gothic" w:hAnsi="Century Gothic" w:cs="Arial"/>
          <w:bCs/>
          <w:color w:val="ff0000"/>
          <w:highlight w:val="none"/>
        </w:rPr>
        <w:t xml:space="preserve">contenu du présent pré-syllabus pour adapter  l’organisation de son cours. Ce contenu est une garantie  internationale optimale du parcours du Master 2.</w:t>
      </w:r>
      <w:r>
        <w:rPr>
          <w:rFonts w:ascii="Century Gothic" w:hAnsi="Century Gothic" w:cs="Arial"/>
          <w:bCs/>
          <w:color w:val="002060"/>
          <w:highlight w:val="none"/>
        </w:rPr>
        <w:t xml:space="preserve"> </w:t>
      </w:r>
      <w:r>
        <w:rPr>
          <w:rFonts w:ascii="Century Gothic" w:hAnsi="Century Gothic" w:cs="Arial"/>
          <w:b/>
          <w:bCs/>
          <w:color w:val="002060"/>
          <w:sz w:val="40"/>
          <w:szCs w:val="40"/>
        </w:rPr>
      </w:r>
      <w:r>
        <w:rPr>
          <w:rFonts w:ascii="Century Gothic" w:hAnsi="Century Gothic" w:cs="Arial"/>
          <w:b/>
          <w:bCs/>
          <w:color w:val="002060"/>
          <w:sz w:val="40"/>
          <w:szCs w:val="40"/>
        </w:rPr>
      </w:r>
    </w:p>
    <w:p w14:paraId="20CF14DD" w14:textId="4360280B">
      <w:pPr>
        <w:pBdr/>
        <w:tabs>
          <w:tab w:val="left" w:leader="none" w:pos="6558"/>
        </w:tabs>
        <w:spacing w:after="0" w:line="240" w:lineRule="auto"/>
        <w:ind/>
        <w:jc w:val="both"/>
        <w:rPr>
          <w:rFonts w:ascii="Century Gothic" w:hAnsi="Century Gothic" w:eastAsia="Calibri" w:cs="Arial"/>
          <w:color w:val="002060"/>
        </w:rPr>
      </w:pPr>
      <w:r>
        <w:rPr>
          <w:rFonts w:ascii="Century Gothic" w:hAnsi="Century Gothic" w:eastAsia="Calibri" w:cs="Arial"/>
          <w:color w:val="002060"/>
        </w:rPr>
      </w:r>
      <w:r>
        <w:rPr>
          <w:rFonts w:ascii="Century Gothic" w:hAnsi="Century Gothic" w:eastAsia="Calibri" w:cs="Arial"/>
          <w:color w:val="002060"/>
        </w:rPr>
      </w:r>
      <w:r>
        <w:rPr>
          <w:rFonts w:ascii="Century Gothic" w:hAnsi="Century Gothic" w:eastAsia="Calibri" w:cs="Arial"/>
          <w:color w:val="002060"/>
        </w:rPr>
      </w:r>
    </w:p>
    <w:p w14:paraId="168B4D49">
      <w:pPr>
        <w:pStyle w:val="1026"/>
        <w:numPr>
          <w:ilvl w:val="0"/>
          <w:numId w:val="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  <w:highlight w:val="none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Objectifs généraux</w:t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  <w:highlight w:val="none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  <w:highlight w:val="none"/>
        </w:rPr>
      </w:r>
    </w:p>
    <w:p w14:paraId="094A4A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À l’issue du cours, les étudiants seront capables de :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015FBDCE">
      <w:pPr>
        <w:pStyle w:val="1093"/>
        <w:numPr>
          <w:ilvl w:val="0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Comprendre l’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architecture des systèmes Mobile Money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01BA5B13">
      <w:pPr>
        <w:pStyle w:val="1093"/>
        <w:numPr>
          <w:ilvl w:val="0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Analyser les 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mécanismes d’interopérabilité entre plateformes financières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2AA48B54">
      <w:pPr>
        <w:pStyle w:val="1093"/>
        <w:numPr>
          <w:ilvl w:val="0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Modéliser les 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flux transactionnels wallet–banque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4373A1D0">
      <w:pPr>
        <w:pStyle w:val="1093"/>
        <w:numPr>
          <w:ilvl w:val="0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Comprendre le rôle des 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switchs de paiement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4A887446">
      <w:pPr>
        <w:pStyle w:val="1093"/>
        <w:numPr>
          <w:ilvl w:val="0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Concevoir une 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intégration par API fintech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416E4791">
      <w:pPr>
        <w:pStyle w:val="1093"/>
        <w:numPr>
          <w:ilvl w:val="0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Identifier les 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enjeux de sécurité, gouvernance et régulation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2086C8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2AA770D0">
      <w:pPr>
        <w:pStyle w:val="102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  <w:highlight w:val="none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634516AB">
      <w:pPr>
        <w:pStyle w:val="102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  <w:highlight w:val="none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      2. Organisation du cours 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  <w:highlight w:val="none"/>
        </w:rPr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  <w:highlight w:val="none"/>
        </w:rPr>
      </w:r>
    </w:p>
    <w:p w14:paraId="0AEA0702">
      <w:pPr>
        <w:pStyle w:val="108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JOUR 1 — Écosystème et architecture du Mobile Money (4h)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1A72DEA3">
      <w:pPr>
        <w:pStyle w:val="102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1.1 Évolution des paiements numériques 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0851FA31">
      <w:pPr>
        <w:pStyle w:val="1093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Paiements électroniques vs Mobile Money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5F07EA9A">
      <w:pPr>
        <w:pStyle w:val="1093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Inclusion financière et digitalisation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7515A744">
      <w:pPr>
        <w:pStyle w:val="1093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Panorama mondial du Mobile Money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5BE68D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Rôle d’acteurs structurants comme :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3896DF2C">
      <w:pPr>
        <w:pStyle w:val="1093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GSMA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7D2F193C">
      <w:pPr>
        <w:pStyle w:val="1093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banques centrales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06A0E386">
      <w:pPr>
        <w:pStyle w:val="1093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opérateurs télécoms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7D59F10D">
      <w:pPr>
        <w:pStyle w:val="102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1.2 Écosystème des acteurs 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56B1B2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Cartographie des acteurs :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2792E618">
      <w:pPr>
        <w:pStyle w:val="1093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MNO (Mobile Network Operators)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71342300">
      <w:pPr>
        <w:pStyle w:val="1093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banques commerciales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1F54C093">
      <w:pPr>
        <w:pStyle w:val="1093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fintechs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30CC8CBD">
      <w:pPr>
        <w:pStyle w:val="1093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agrégateurs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29CD8F0C">
      <w:pPr>
        <w:pStyle w:val="1093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régulateurs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7924F4C0">
      <w:pPr>
        <w:pStyle w:val="1093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fournisseurs technologiques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07494B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Analyse des relations :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02A45CF9">
      <w:pPr>
        <w:pStyle w:val="1093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coopétition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5060F2AB">
      <w:pPr>
        <w:pStyle w:val="1093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dépendance technologique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25572BEF">
      <w:pPr>
        <w:pStyle w:val="1093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effets de réseau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0782B0E5">
      <w:pPr>
        <w:pStyle w:val="102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1.3 Architecture fonctionnelle Mobile Money 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4D3A33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Architecture type d’une plateforme Mobile Money :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2E3DDF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Composants principaux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174289E8">
      <w:pPr>
        <w:pStyle w:val="1093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Wallet management system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61F7D8B1">
      <w:pPr>
        <w:pStyle w:val="1093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Transaction processing engine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301E518D">
      <w:pPr>
        <w:pStyle w:val="1093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Agent management system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7700B34D">
      <w:pPr>
        <w:pStyle w:val="1093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KYC / Identity management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05FAE285">
      <w:pPr>
        <w:pStyle w:val="1093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Fraud management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25CBE0AE">
      <w:pPr>
        <w:pStyle w:val="1093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Reporting &amp; settlement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1F16CB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Interfaces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40DF10F4">
      <w:pPr>
        <w:pStyle w:val="1093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USSD gateway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3BBEB6C8">
      <w:pPr>
        <w:pStyle w:val="1093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SMS gateway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7210C912">
      <w:pPr>
        <w:pStyle w:val="1093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Mobile apps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63D29E54">
      <w:pPr>
        <w:pStyle w:val="1093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API gateways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39DE3C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Schéma d’architecture SI complet.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561D6D18">
      <w:pPr>
        <w:pStyle w:val="102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1.4 Flux transactionnels fondamentaux 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082325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Analyse détaillée :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1B2F588A">
      <w:pPr>
        <w:pStyle w:val="1093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Cash-in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42C69AA3">
      <w:pPr>
        <w:pStyle w:val="1093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Cash-out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3C2A5FCB">
      <w:pPr>
        <w:pStyle w:val="1093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P2P transfer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063A6AF1">
      <w:pPr>
        <w:pStyle w:val="1093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Merchant payment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099588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Modélisation :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144A3437">
      <w:pPr>
        <w:pStyle w:val="1093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séquence transactionnelle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52E06B9E">
      <w:pPr>
        <w:pStyle w:val="1093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gestion des erreurs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314E4BEF">
      <w:pPr>
        <w:pStyle w:val="1093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réconciliation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50609C67">
      <w:pPr>
        <w:pStyle w:val="108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JOUR 2 — Interopérabilité Wallet-to-Bank (4h)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2445448A">
      <w:pPr>
        <w:pStyle w:val="102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2.1 Concepts d’interopérabilité 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34DD11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Définition :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012BF523">
      <w:pPr>
        <w:pStyle w:val="1093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interopérabilité technique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607E45AB">
      <w:pPr>
        <w:pStyle w:val="1093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interopérabilité opérationnelle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2E725D9E">
      <w:pPr>
        <w:pStyle w:val="1093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interopérabilité commerciale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2B16D4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Typologies :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0FE85C15">
      <w:pPr>
        <w:pStyle w:val="1093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wallet ↔ banque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4692CDC4">
      <w:pPr>
        <w:pStyle w:val="1093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wallet ↔ wallet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5709333C">
      <w:pPr>
        <w:pStyle w:val="1093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wallet ↔ fintech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4B68CE3A">
      <w:pPr>
        <w:pStyle w:val="102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2.2 Architecture Wallet-to-Bank 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1E5AC3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Modèles d’intégration :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7C432F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1️⃣ 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Connexion directe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29DFB9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Banque ↔ MNO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64F36F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2️⃣ 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Hub d’interopérabilité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2D5BFC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Banque ↔ hub ↔ MNO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740708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3️⃣ 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Switch national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1B4C00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Banque ↔ switch ↔ opérateurs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0A1107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Étude des flux :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534CBF84">
      <w:pPr>
        <w:pStyle w:val="1093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initiation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228BFEF7">
      <w:pPr>
        <w:pStyle w:val="1093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autorisation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761E7A0F">
      <w:pPr>
        <w:pStyle w:val="1093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clearing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04182BA1">
      <w:pPr>
        <w:pStyle w:val="1093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settlement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559B004F">
      <w:pPr>
        <w:pStyle w:val="102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2.3 Protocoles et standards 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622B48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Standards utilisés dans les paiements :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03942B68">
      <w:pPr>
        <w:pStyle w:val="1093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ISO 8583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4B08D955">
      <w:pPr>
        <w:pStyle w:val="1093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ISO 20022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4E0E6F0D">
      <w:pPr>
        <w:pStyle w:val="1093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REST API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672470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Concepts :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061E695E">
      <w:pPr>
        <w:pStyle w:val="1093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message switching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3BC043B5">
      <w:pPr>
        <w:pStyle w:val="1093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transaction reconciliation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0D2FFE61">
      <w:pPr>
        <w:pStyle w:val="1093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settlement net / brut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7D261997">
      <w:pPr>
        <w:pStyle w:val="102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2.4 Cas pratique 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1B0E5A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Analyse d’un scénario :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0C70D5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Transfert Wallet → Compte bancaire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074711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Étudiants modélisent :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689BC0C7">
      <w:pPr>
        <w:pStyle w:val="1093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les acteurs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1E5206E3">
      <w:pPr>
        <w:pStyle w:val="1093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les messages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76678D01">
      <w:pPr>
        <w:pStyle w:val="1093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les étapes du processus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214DE792">
      <w:pPr>
        <w:pStyle w:val="108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🗓 JOUR 3 — Switch de paiement &amp; interopérabilité inter-MNO (4h)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7E4F5E52">
      <w:pPr>
        <w:pStyle w:val="102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3.1 Problème de fragmentation des wallets 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5CE2E507">
      <w:pPr>
        <w:pStyle w:val="1093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silos technologiques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76D6D7A8">
      <w:pPr>
        <w:pStyle w:val="1093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verrouillage concurrentiel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746751BC">
      <w:pPr>
        <w:pStyle w:val="1093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impact sur les utilisateurs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44E27A8C">
      <w:pPr>
        <w:pStyle w:val="102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3.2 Switch de paiement 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3D05AF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Définition :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1D7BA7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un 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switch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 est une infrastructure qui :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1DE84C7B">
      <w:pPr>
        <w:pStyle w:val="1093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route les transactions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33A3CF66">
      <w:pPr>
        <w:pStyle w:val="1093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authentifie les participants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5A0798E8">
      <w:pPr>
        <w:pStyle w:val="1093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assure le clearing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2C1D2A8B">
      <w:pPr>
        <w:pStyle w:val="1093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prépare le settlement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53A338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Architecture d’un switch :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76F3B812">
      <w:pPr>
        <w:pStyle w:val="1093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routing engine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4E02BAD6">
      <w:pPr>
        <w:pStyle w:val="1093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transaction manager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31EFD712">
      <w:pPr>
        <w:pStyle w:val="1093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fraud engine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0F4406E1">
      <w:pPr>
        <w:pStyle w:val="1093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settlement module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1C273245">
      <w:pPr>
        <w:pStyle w:val="102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3.3 Interopérabilité inter-MNO 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7A70BF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Transactions possibles :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05A4B7C7">
      <w:pPr>
        <w:pStyle w:val="1093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wallet A → wallet B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68391D2F">
      <w:pPr>
        <w:pStyle w:val="1093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wallet → merchant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74E69B32">
      <w:pPr>
        <w:pStyle w:val="1093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wallet → banque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1D92A5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Analyse des problématiques :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7FCEDF2D">
      <w:pPr>
        <w:pStyle w:val="1093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latence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2E352798">
      <w:pPr>
        <w:pStyle w:val="1093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SLA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729F1546">
      <w:pPr>
        <w:pStyle w:val="1093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gestion des litiges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64B63A70">
      <w:pPr>
        <w:pStyle w:val="102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3.4 Gouvernance d’un switch 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3017CE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Modèles :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59943B1A">
      <w:pPr>
        <w:pStyle w:val="1093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switch opéré par banque centrale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387D29A3">
      <w:pPr>
        <w:pStyle w:val="1093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switch privé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0501DAC9">
      <w:pPr>
        <w:pStyle w:val="1093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consortium bancaire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0C68F3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Cas d’Afrique et d’Asie.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35315A78">
      <w:pPr>
        <w:pStyle w:val="108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🗓 JOUR 4 — API Fintech &amp; Open Finance (4h)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4B6751E4">
      <w:pPr>
        <w:pStyle w:val="102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4.1 Architecture API dans les paiements 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1E9BEC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Concepts :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078B86C3">
      <w:pPr>
        <w:pStyle w:val="1093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API Gateway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66F6B946">
      <w:pPr>
        <w:pStyle w:val="1093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microservices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66645E0E">
      <w:pPr>
        <w:pStyle w:val="1093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middleware financier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436ED2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Architecture :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5545AF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Fintech → API → Mobile Money platform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0FC4DE33">
      <w:pPr>
        <w:pStyle w:val="102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4.2 Types d’API Mobile Money 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2221B2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API principales :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115F4C79">
      <w:pPr>
        <w:pStyle w:val="1093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Customer to Business (C2B)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1B0E5A50">
      <w:pPr>
        <w:pStyle w:val="1093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Business to Customer (B2C)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42555A90">
      <w:pPr>
        <w:pStyle w:val="1093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P2P transfer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09EF64A1">
      <w:pPr>
        <w:pStyle w:val="1093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Wallet inquiry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15D8CDBC">
      <w:pPr>
        <w:pStyle w:val="1093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Transaction status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7046E0D8">
      <w:pPr>
        <w:pStyle w:val="102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4.3 Sécurité des API financières 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10387F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Mécanismes :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53968D67">
      <w:pPr>
        <w:pStyle w:val="1093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OAuth2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5DF2933C">
      <w:pPr>
        <w:pStyle w:val="1093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tokens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5FFFB6A3">
      <w:pPr>
        <w:pStyle w:val="1093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signatures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24425E4C">
      <w:pPr>
        <w:pStyle w:val="1093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chiffrement TLS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068005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Gestion des risques :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4E6A5DD9">
      <w:pPr>
        <w:pStyle w:val="1093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fraude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74C3E178">
      <w:pPr>
        <w:pStyle w:val="1093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attaques API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4C486DED">
      <w:pPr>
        <w:pStyle w:val="1093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conformité KYC / AML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66C5B4BC">
      <w:pPr>
        <w:pStyle w:val="102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4.4 Atelier technique 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1A2E59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Étudiants conçoivent :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72C9CA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une architecture fintech utilisant les API Mobile Money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6687D6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Exemple :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756FC3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application e-commerce → paiement Mobile Money.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2384CD60">
      <w:pPr>
        <w:pStyle w:val="108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🗓 JOUR 5 — Conception d’une plateforme interopérable (4h)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5799CF02">
      <w:pPr>
        <w:pStyle w:val="102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5.1 Cas d’usage avancés 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4144AC6A">
      <w:pPr>
        <w:pStyle w:val="1093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paiements marchands interopérables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6A2ACEF9">
      <w:pPr>
        <w:pStyle w:val="1093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paiement de masse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7C6B93AE">
      <w:pPr>
        <w:pStyle w:val="1093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paiements gouvernementaux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3DFCFC57">
      <w:pPr>
        <w:pStyle w:val="1093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transferts transfrontaliers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78D71172">
      <w:pPr>
        <w:pStyle w:val="102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5.2 Architecture d’une plateforme de paiement 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6C397A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Composants :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5D743E93">
      <w:pPr>
        <w:pStyle w:val="1093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wallet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6992ADB1">
      <w:pPr>
        <w:pStyle w:val="1093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switch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203BE029">
      <w:pPr>
        <w:pStyle w:val="1093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API gateway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2F265CCD">
      <w:pPr>
        <w:pStyle w:val="1093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fraud engine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30DFB47F">
      <w:pPr>
        <w:pStyle w:val="1093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settlement system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79233B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Architecture 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plateforme multi-acteurs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.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45544319">
      <w:pPr>
        <w:pStyle w:val="102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5.3</w:t>
      </w:r>
      <w:r>
        <w:rPr>
          <w:rFonts w:ascii="Agency FB" w:hAnsi="Agency FB" w:eastAsia="Agency FB" w:cs="Agency FB"/>
          <w:b/>
          <w:bCs/>
          <w:color w:val="ff0000"/>
          <w:sz w:val="28"/>
          <w:szCs w:val="28"/>
        </w:rPr>
        <w:t xml:space="preserve"> Controle continu (proposition)</w:t>
      </w:r>
      <w:r>
        <w:rPr>
          <w:rFonts w:ascii="Agency FB" w:hAnsi="Agency FB" w:eastAsia="Agency FB" w:cs="Agency FB"/>
          <w:b/>
          <w:bCs/>
          <w:color w:val="ff0000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2B4BDE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Les étudiants doivent définir :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395B6D12">
      <w:pPr>
        <w:pStyle w:val="1093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architecture SI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1B295F12">
      <w:pPr>
        <w:pStyle w:val="1093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acteurs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2EA35B19">
      <w:pPr>
        <w:pStyle w:val="1093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modèle d’intégration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3C915912">
      <w:pPr>
        <w:pStyle w:val="1093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sécurité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57B9108B">
      <w:pPr>
        <w:pStyle w:val="1093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gouvernance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21642A46">
      <w:pPr>
        <w:pBdr/>
        <w:spacing/>
        <w:ind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6994F6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  <w:highlight w:val="none"/>
        </w:rPr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sectPr>
      <w:headerReference w:type="default" r:id="rId9"/>
      <w:headerReference w:type="first" r:id="rId10"/>
      <w:footerReference w:type="default" r:id="rId11"/>
      <w:footerReference w:type="first" r:id="rId12"/>
      <w:footnotePr/>
      <w:endnotePr/>
      <w:type w:val="nextPage"/>
      <w:pgSz w:h="16838" w:orient="portrait" w:w="11906"/>
      <w:pgMar w:top="1440" w:right="1133" w:bottom="1440" w:left="1440" w:header="720" w:footer="513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1C66168E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16BE0499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 Gothic">
    <w:panose1 w:val="020B0502020202020204"/>
  </w:font>
  <w:font w:name="Agency FB">
    <w:panose1 w:val="020B0503020202020204"/>
  </w:font>
  <w:font w:name="Calibri">
    <w:panose1 w:val="020F05020202040302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Corbel">
    <w:panose1 w:val="020B0503020204020204"/>
  </w:font>
  <w:font w:name="Tahoma">
    <w:panose1 w:val="020B0604030504040204"/>
  </w:font>
  <w:font w:name="Arial Narrow">
    <w:panose1 w:val="020B0606020202030204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173ACA5D" w14:textId="050349BE">
    <w:pPr>
      <w:pStyle w:val="1089"/>
      <w:pBdr/>
      <w:shd w:val="clear" w:color="auto" w:fill="e2efd9" w:themeFill="accent6" w:themeFillTint="33"/>
      <w:spacing/>
      <w:ind/>
      <w:rPr>
        <w:sz w:val="20"/>
      </w:rPr>
    </w:pPr>
    <w:r>
      <w:rPr>
        <w:rFonts w:ascii="Arial" w:hAnsi="Arial" w:cs="Arial"/>
        <w:b/>
        <w:sz w:val="18"/>
        <w:szCs w:val="18"/>
      </w:rPr>
      <w:t xml:space="preserve">PRESYLLABUS M2 SIB 2026-2027</w:t>
    </w:r>
    <w:r>
      <w:rPr>
        <w:sz w:val="20"/>
      </w:rPr>
    </w:r>
    <w:r>
      <w:rPr>
        <w:sz w:val="20"/>
      </w:rPr>
    </w:r>
  </w:p>
  <w:p w14:paraId="527BAF73" w14:textId="7BE83B60">
    <w:pPr>
      <w:pStyle w:val="1089"/>
      <w:pBdr/>
      <w:shd w:val="clear" w:color="auto" w:fill="e2efd9" w:themeFill="accent6" w:themeFillTint="33"/>
      <w:spacing/>
      <w:ind/>
      <w:rPr>
        <w:sz w:val="20"/>
      </w:rPr>
    </w:pPr>
    <w:r>
      <w:rPr>
        <w:sz w:val="20"/>
      </w:rPr>
      <w:t xml:space="preserve">Document interne, à ne pas diffuser à l’extérieur                                                         </w:t>
    </w:r>
    <w:r>
      <w:rPr>
        <w:b/>
        <w:sz w:val="20"/>
      </w:rPr>
      <w:t xml:space="preserve">BBS</w:t>
    </w:r>
    <w:r>
      <w:rPr>
        <w:sz w:val="20"/>
      </w:rPr>
    </w:r>
    <w:r>
      <w:rPr>
        <w:sz w:val="20"/>
      </w:rPr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497D033" w14:textId="71D59311">
    <w:pPr>
      <w:pStyle w:val="1089"/>
      <w:pBdr/>
      <w:shd w:val="clear" w:color="auto" w:fill="e2efd9" w:themeFill="accent6" w:themeFillTint="33"/>
      <w:spacing/>
      <w:ind/>
      <w:rPr>
        <w:rFonts w:ascii="Arial" w:hAnsi="Arial" w:cs="Arial"/>
        <w:b/>
        <w:sz w:val="18"/>
        <w:szCs w:val="18"/>
      </w:rPr>
    </w:pPr>
    <w:r>
      <w:rPr>
        <w:rFonts w:ascii="Arial" w:hAnsi="Arial" w:cs="Arial"/>
        <w:b/>
        <w:sz w:val="18"/>
        <w:szCs w:val="18"/>
      </w:rPr>
      <w:t xml:space="preserve">MAF 079 PROENS 01 -TRAME SYLLABUS </w:t>
    </w:r>
    <w:r>
      <w:rPr>
        <w:rFonts w:ascii="Arial" w:hAnsi="Arial" w:cs="Arial"/>
        <w:b/>
        <w:sz w:val="18"/>
        <w:szCs w:val="18"/>
      </w:rPr>
      <w:t xml:space="preserve">–</w:t>
    </w:r>
    <w:r>
      <w:rPr>
        <w:rFonts w:ascii="Arial" w:hAnsi="Arial" w:cs="Arial"/>
        <w:b/>
        <w:sz w:val="18"/>
        <w:szCs w:val="18"/>
      </w:rPr>
      <w:t xml:space="preserve">BBS</w:t>
    </w:r>
    <w:r>
      <w:rPr>
        <w:rFonts w:ascii="Arial" w:hAnsi="Arial" w:cs="Arial"/>
        <w:b/>
        <w:sz w:val="18"/>
        <w:szCs w:val="18"/>
      </w:rPr>
      <w:t xml:space="preserve"> – Novembre 2023</w:t>
    </w:r>
    <w:r>
      <w:rPr>
        <w:rFonts w:ascii="Arial" w:hAnsi="Arial" w:cs="Arial"/>
        <w:b/>
        <w:sz w:val="18"/>
        <w:szCs w:val="18"/>
      </w:rPr>
    </w:r>
    <w:r>
      <w:rPr>
        <w:rFonts w:ascii="Arial" w:hAnsi="Arial" w:cs="Arial"/>
        <w:b/>
        <w:sz w:val="18"/>
        <w:szCs w:val="18"/>
      </w:rPr>
    </w:r>
  </w:p>
  <w:p w14:paraId="65C018A0" w14:textId="36DF6E50">
    <w:pPr>
      <w:pStyle w:val="1089"/>
      <w:pBdr/>
      <w:shd w:val="clear" w:color="auto" w:fill="e2efd9" w:themeFill="accent6" w:themeFillTint="33"/>
      <w:spacing/>
      <w:ind/>
      <w:rPr>
        <w:sz w:val="20"/>
      </w:rPr>
    </w:pPr>
    <w:r>
      <w:rPr>
        <w:sz w:val="20"/>
      </w:rPr>
      <w:t xml:space="preserve">Document interne, à ne pas diffuser à l’</w:t>
    </w:r>
    <w:r>
      <w:rPr>
        <w:sz w:val="20"/>
      </w:rPr>
      <w:t xml:space="preserve">extéreur</w:t>
    </w:r>
    <w:r>
      <w:rPr>
        <w:sz w:val="20"/>
      </w:rPr>
      <w:t xml:space="preserve">                                                         </w:t>
    </w:r>
    <w:r>
      <w:rPr>
        <w:sz w:val="20"/>
      </w:rPr>
    </w:r>
    <w:r>
      <w:rPr>
        <w:sz w:val="20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56BFB1DA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6D1CF998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7AEFE72" w14:textId="101FCF52">
    <w:pPr>
      <w:pStyle w:val="1087"/>
      <w:pBdr/>
      <w:spacing/>
      <w:ind/>
      <w:rPr/>
    </w:pPr>
    <w:r/>
    <w:sdt>
      <w:sdtPr>
        <w15:appearance w15:val="boundingBox"/>
        <w:id w:val="1950361487"/>
        <w:docPartObj>
          <w:docPartGallery w:val="Page Numbers (Margins)"/>
          <w:docPartUnique w:val="true"/>
        </w:docPartObj>
        <w:rPr/>
      </w:sdtPr>
      <w:sdtContent>
        <w:r>
          <w:rPr>
            <w:lang w:eastAsia="fr-FR"/>
          </w:rPr>
          <mc:AlternateContent>
            <mc:Choice Requires="wpg">
              <w:drawing>
                <wp:anchor xmlns:wp="http://schemas.openxmlformats.org/drawingml/2006/wordprocessingDrawing" xmlns:wp14="http://schemas.microsoft.com/office/word/2010/wordprocessingDrawing" distT="0" distB="0" distL="114300" distR="114300" simplePos="0" relativeHeight="251662336" behindDoc="0" locked="0" layoutInCell="0" allowOverlap="1">
                  <wp:simplePos x="0" y="0"/>
                  <wp:positionH relativeFrom="rightMargin">
                    <wp:align>center</wp:align>
                  </wp:positionH>
                  <wp:positionV relativeFrom="margin">
                    <wp:align>bottom</wp:align>
                  </wp:positionV>
                  <wp:extent cx="510540" cy="2183130"/>
                  <wp:effectExtent l="0" t="0" r="3810" b="0"/>
                  <wp:wrapNone/>
                  <wp:docPr id="1" name="Rectangle 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Pr id="0" name="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0540" cy="2183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DF26C7E" w14:textId="29F3B87D">
                              <w:pPr>
                                <w:pStyle w:val="1089"/>
                                <w:pBdr/>
                                <w:spacing/>
                                <w:ind/>
                                <w:rPr>
                                  <w:rFonts w:asciiTheme="majorHAnsi" w:hAnsiTheme="majorHAnsi" w:eastAsiaTheme="majorEastAsia" w:cstheme="majorBidi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asciiTheme="majorHAnsi" w:hAnsiTheme="majorHAnsi" w:eastAsiaTheme="majorEastAsia" w:cstheme="majorBidi"/>
                                </w:rPr>
                                <w:t xml:space="preserve">Page</w:t>
                              </w:r>
                              <w:r>
                                <w:rPr>
                                  <w:rFonts w:cs="Times New Roman" w:eastAsiaTheme="minorEastAsia"/>
                                </w:rPr>
                                <w:fldChar w:fldCharType="begin"/>
                              </w:r>
                              <w:r>
                                <w:instrText xml:space="preserve">PAGE    \* MERGEFORMAT</w:instrText>
                              </w:r>
                              <w:r>
                                <w:rPr>
                                  <w:rFonts w:cs="Times New Roman" w:eastAsiaTheme="minorEastAsia"/>
                                </w:rPr>
                                <w:fldChar w:fldCharType="separate"/>
                              </w:r>
                              <w:r>
                                <w:rPr>
                                  <w:rFonts w:asciiTheme="majorHAnsi" w:hAnsiTheme="majorHAnsi" w:eastAsiaTheme="majorEastAsia" w:cstheme="majorBidi"/>
                                  <w:sz w:val="44"/>
                                  <w:szCs w:val="44"/>
                                </w:rPr>
                                <w:t xml:space="preserve">5</w:t>
                              </w:r>
                              <w:r>
                                <w:rPr>
                                  <w:rFonts w:asciiTheme="majorHAnsi" w:hAnsiTheme="majorHAnsi" w:eastAsiaTheme="majorEastAsia" w:cstheme="majorBidi"/>
                                  <w:sz w:val="44"/>
                                  <w:szCs w:val="44"/>
                                </w:rPr>
                                <w:fldChar w:fldCharType="end"/>
                              </w:r>
                              <w:r>
                                <w:rPr>
                                  <w:rFonts w:asciiTheme="majorHAnsi" w:hAnsiTheme="majorHAnsi" w:eastAsiaTheme="majorEastAsia" w:cstheme="majorBidi"/>
                                  <w:sz w:val="44"/>
                                  <w:szCs w:val="44"/>
                                </w:rPr>
                              </w:r>
                              <w:r>
                                <w:rPr>
                                  <w:rFonts w:asciiTheme="majorHAnsi" w:hAnsiTheme="majorHAnsi" w:eastAsiaTheme="majorEastAsia" w:cstheme="majorBidi"/>
                                  <w:sz w:val="44"/>
                                  <w:szCs w:val="44"/>
                                </w:rPr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ctr" anchorCtr="0" upright="1">
                          <a:sp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 id="shape 0" o:spid="_x0000_s0" o:spt="1" type="#_x0000_t1" style="position:absolute;z-index:251662336;o:allowoverlap:true;o:allowincell:false;mso-position-horizontal-relative:right-margin-area;mso-position-horizontal:center;mso-position-vertical-relative:margin;mso-position-vertical:bottom;width:40.20pt;height:171.90pt;mso-wrap-distance-left:9.00pt;mso-wrap-distance-top:0.00pt;mso-wrap-distance-right:9.00pt;mso-wrap-distance-bottom:0.00pt;v-text-anchor:middle;visibility:visible;" filled="f" stroked="f">
                  <v:textbox inset="0,0,0,0">
                    <w:txbxContent>
                      <w:p w14:paraId="3DF26C7E" w14:textId="29F3B87D">
                        <w:pPr>
                          <w:pStyle w:val="1089"/>
                          <w:pBdr/>
                          <w:spacing/>
                          <w:ind/>
                          <w:rPr>
                            <w:rFonts w:asciiTheme="majorHAnsi" w:hAnsiTheme="majorHAnsi" w:eastAsiaTheme="majorEastAsia" w:cstheme="majorBidi"/>
                            <w:sz w:val="44"/>
                            <w:szCs w:val="44"/>
                          </w:rPr>
                        </w:pPr>
                        <w:r>
                          <w:rPr>
                            <w:rFonts w:asciiTheme="majorHAnsi" w:hAnsiTheme="majorHAnsi" w:eastAsiaTheme="majorEastAsia" w:cstheme="majorBidi"/>
                          </w:rPr>
                          <w:t xml:space="preserve">Page</w:t>
                        </w:r>
                        <w:r>
                          <w:rPr>
                            <w:rFonts w:cs="Times New Roman" w:eastAsiaTheme="minorEastAsia"/>
                          </w:rPr>
                          <w:fldChar w:fldCharType="begin"/>
                        </w:r>
                        <w:r>
                          <w:instrText xml:space="preserve">PAGE    \* MERGEFORMAT</w:instrText>
                        </w:r>
                        <w:r>
                          <w:rPr>
                            <w:rFonts w:cs="Times New Roman" w:eastAsiaTheme="minorEastAsia"/>
                          </w:rPr>
                          <w:fldChar w:fldCharType="separate"/>
                        </w:r>
                        <w:r>
                          <w:rPr>
                            <w:rFonts w:asciiTheme="majorHAnsi" w:hAnsiTheme="majorHAnsi" w:eastAsiaTheme="majorEastAsia" w:cstheme="majorBidi"/>
                            <w:sz w:val="44"/>
                            <w:szCs w:val="44"/>
                          </w:rPr>
                          <w:t xml:space="preserve">5</w:t>
                        </w:r>
                        <w:r>
                          <w:rPr>
                            <w:rFonts w:asciiTheme="majorHAnsi" w:hAnsiTheme="majorHAnsi" w:eastAsiaTheme="majorEastAsia" w:cstheme="majorBidi"/>
                            <w:sz w:val="44"/>
                            <w:szCs w:val="44"/>
                          </w:rPr>
                          <w:fldChar w:fldCharType="end"/>
                        </w:r>
                        <w:r>
                          <w:rPr>
                            <w:rFonts w:asciiTheme="majorHAnsi" w:hAnsiTheme="majorHAnsi" w:eastAsiaTheme="majorEastAsia" w:cstheme="majorBidi"/>
                            <w:sz w:val="44"/>
                            <w:szCs w:val="44"/>
                          </w:rPr>
                        </w:r>
                        <w:r>
                          <w:rPr>
                            <w:rFonts w:asciiTheme="majorHAnsi" w:hAnsiTheme="majorHAnsi" w:eastAsiaTheme="majorEastAsia" w:cstheme="majorBidi"/>
                            <w:sz w:val="44"/>
                            <w:szCs w:val="44"/>
                          </w:rPr>
                        </w:r>
                      </w:p>
                    </w:txbxContent>
                  </v:textbox>
                </v:shape>
              </w:pict>
            </mc:Fallback>
          </mc:AlternateContent>
        </w:r>
      </w:sdtContent>
    </w:sdt>
    <w:r>
      <w:rPr>
        <w:rFonts w:eastAsia="Times New Roman"/>
        <w:lang w:eastAsia="fr-FR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1" locked="0" layoutInCell="1" allowOverlap="1">
              <wp:simplePos x="0" y="0"/>
              <wp:positionH relativeFrom="margin">
                <wp:posOffset>-425450</wp:posOffset>
              </wp:positionH>
              <wp:positionV relativeFrom="paragraph">
                <wp:posOffset>82550</wp:posOffset>
              </wp:positionV>
              <wp:extent cx="781050" cy="738505"/>
              <wp:effectExtent l="0" t="0" r="0" b="4445"/>
              <wp:wrapSquare wrapText="bothSides"/>
              <wp:docPr id="2" name="Image 2" descr="Nouveau Logo BBS Oct 201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 descr="Nouveau Logo BBS Oct 2017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781050" cy="738505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" o:spid="_x0000_s1" type="#_x0000_t75" style="position:absolute;z-index:-251658240;o:allowoverlap:true;o:allowincell:true;mso-position-horizontal-relative:margin;margin-left:-33.50pt;mso-position-horizontal:absolute;mso-position-vertical-relative:text;margin-top:6.50pt;mso-position-vertical:absolute;width:61.50pt;height:58.15pt;mso-wrap-distance-left:9.00pt;mso-wrap-distance-top:0.00pt;mso-wrap-distance-right:9.00pt;mso-wrap-distance-bottom:0.00pt;z-index:1;" stroked="false">
              <w10:wrap type="square"/>
              <v:imagedata r:id="rId1" o:title=""/>
              <o:lock v:ext="edit" rotation="t"/>
            </v:shape>
          </w:pict>
        </mc:Fallback>
      </mc:AlternateContent>
    </w:r>
    <w:r/>
  </w:p>
  <w:p w14:paraId="5B2006AB" w14:textId="1C9AE444">
    <w:pPr>
      <w:pStyle w:val="1087"/>
      <w:pBdr/>
      <w:spacing/>
      <w:ind/>
      <w:rPr/>
    </w:pPr>
    <w:r/>
    <w:r/>
  </w:p>
  <w:p w14:paraId="7D33CBF5" w14:textId="47246C3E">
    <w:pPr>
      <w:pStyle w:val="1087"/>
      <w:pBdr/>
      <w:spacing/>
      <w:ind/>
      <w:rPr/>
    </w:pPr>
    <w:r/>
    <w:r/>
  </w:p>
  <w:p w14:paraId="5B595246" w14:textId="334B39C6">
    <w:pPr>
      <w:pStyle w:val="1087"/>
      <w:pBdr/>
      <w:spacing/>
      <w:ind/>
      <w:rPr/>
    </w:pPr>
    <w:r/>
    <w:r/>
  </w:p>
  <w:p w14:paraId="67F42077" w14:textId="77777777">
    <w:pPr>
      <w:pStyle w:val="1087"/>
      <w:pBdr/>
      <w:spacing/>
      <w:ind/>
      <w:rPr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45E0C808" w14:textId="473F0EF6">
    <w:pPr>
      <w:pStyle w:val="1087"/>
      <w:pBdr/>
      <w:spacing/>
      <w:ind/>
      <w:rPr/>
    </w:pPr>
    <w:r>
      <w:rPr>
        <w:rFonts w:eastAsia="Times New Roman"/>
        <w:lang w:eastAsia="fr-FR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0288" behindDoc="1" locked="0" layoutInCell="1" allowOverlap="1">
              <wp:simplePos x="0" y="0"/>
              <wp:positionH relativeFrom="margin">
                <wp:posOffset>-336550</wp:posOffset>
              </wp:positionH>
              <wp:positionV relativeFrom="paragraph">
                <wp:posOffset>-729615</wp:posOffset>
              </wp:positionV>
              <wp:extent cx="933450" cy="883285"/>
              <wp:effectExtent l="0" t="0" r="0" b="0"/>
              <wp:wrapTight wrapText="bothSides">
                <wp:wrapPolygon edited="1">
                  <wp:start x="16310" y="0"/>
                  <wp:lineTo x="13224" y="0"/>
                  <wp:lineTo x="12343" y="1398"/>
                  <wp:lineTo x="12343" y="7454"/>
                  <wp:lineTo x="0" y="9317"/>
                  <wp:lineTo x="0" y="20963"/>
                  <wp:lineTo x="21159" y="20963"/>
                  <wp:lineTo x="21159" y="20032"/>
                  <wp:lineTo x="16310" y="14906"/>
                  <wp:lineTo x="21159" y="7919"/>
                  <wp:lineTo x="21159" y="0"/>
                  <wp:lineTo x="16310" y="0"/>
                </wp:wrapPolygon>
              </wp:wrapTight>
              <wp:docPr id="3" name="Image 3" descr="Nouveau Logo BBS Oct 201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 descr="Nouveau Logo BBS Oct 2017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933450" cy="883285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2" o:spid="_x0000_s2" type="#_x0000_t75" style="position:absolute;z-index:-251660288;o:allowoverlap:true;o:allowincell:true;mso-position-horizontal-relative:margin;margin-left:-26.50pt;mso-position-horizontal:absolute;mso-position-vertical-relative:text;margin-top:-57.45pt;mso-position-vertical:absolute;width:73.50pt;height:69.55pt;mso-wrap-distance-left:9.00pt;mso-wrap-distance-top:0.00pt;mso-wrap-distance-right:9.00pt;mso-wrap-distance-bottom:0.00pt;z-index:1;" wrapcoords="75509 0 61222 0 57144 6472 57144 34509 0 43134 0 97051 97958 97051 97958 92741 75509 69009 97958 36662 97958 0 75509 0" stroked="false">
              <w10:wrap type="tight"/>
              <v:imagedata r:id="rId1" o:title=""/>
              <o:lock v:ext="edit" rotation="t"/>
            </v:shape>
          </w:pict>
        </mc:Fallback>
      </mc:AlternateContent>
    </w:r>
    <w:r/>
  </w:p>
  <w:p w14:paraId="109AD942" w14:textId="77777777">
    <w:pPr>
      <w:pStyle w:val="1087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2C8919"/>
    <w:lvl w:ilvl="0">
      <w:isLgl w:val="false"/>
      <w:lvlJc w:val="left"/>
      <w:lvlText w:val="➔"/>
      <w:numFmt w:val="bullet"/>
      <w:pPr>
        <w:pBdr/>
        <w:spacing/>
        <w:ind w:hanging="360" w:left="720"/>
      </w:pPr>
      <w:rPr>
        <w:strike w:val="0"/>
        <w:u w:val="none"/>
      </w:rPr>
      <w:start w:val="1"/>
      <w:suff w:val="tab"/>
    </w:lvl>
    <w:lvl w:ilvl="1">
      <w:isLgl w:val="false"/>
      <w:lvlJc w:val="left"/>
      <w:lvlText w:val="◆"/>
      <w:numFmt w:val="bullet"/>
      <w:pPr>
        <w:pBdr/>
        <w:spacing/>
        <w:ind w:hanging="360" w:left="1440"/>
      </w:pPr>
      <w:rPr>
        <w:strike w:val="0"/>
        <w:u w:val="none"/>
      </w:rPr>
      <w:start w:val="1"/>
      <w:suff w:val="tab"/>
    </w:lvl>
    <w:lvl w:ilvl="2">
      <w:isLgl w:val="false"/>
      <w:lvlJc w:val="left"/>
      <w:lvlText w:val="●"/>
      <w:numFmt w:val="bullet"/>
      <w:pPr>
        <w:pBdr/>
        <w:spacing/>
        <w:ind w:hanging="360" w:left="2160"/>
      </w:pPr>
      <w:rPr>
        <w:strike w:val="0"/>
        <w:u w:val="none"/>
      </w:rPr>
      <w:start w:val="1"/>
      <w:suff w:val="tab"/>
    </w:lvl>
    <w:lvl w:ilvl="3">
      <w:isLgl w:val="false"/>
      <w:lvlJc w:val="left"/>
      <w:lvlText w:val="○"/>
      <w:numFmt w:val="bullet"/>
      <w:pPr>
        <w:pBdr/>
        <w:spacing/>
        <w:ind w:hanging="360" w:left="2880"/>
      </w:pPr>
      <w:rPr>
        <w:strike w:val="0"/>
        <w:u w:val="none"/>
      </w:rPr>
      <w:start w:val="1"/>
      <w:suff w:val="tab"/>
    </w:lvl>
    <w:lvl w:ilvl="4">
      <w:isLgl w:val="false"/>
      <w:lvlJc w:val="left"/>
      <w:lvlText w:val="◆"/>
      <w:numFmt w:val="bullet"/>
      <w:pPr>
        <w:pBdr/>
        <w:spacing/>
        <w:ind w:hanging="360" w:left="3600"/>
      </w:pPr>
      <w:rPr>
        <w:strike w:val="0"/>
        <w:u w:val="none"/>
      </w:rPr>
      <w:start w:val="1"/>
      <w:suff w:val="tab"/>
    </w:lvl>
    <w:lvl w:ilvl="5">
      <w:isLgl w:val="false"/>
      <w:lvlJc w:val="left"/>
      <w:lvlText w:val="●"/>
      <w:numFmt w:val="bullet"/>
      <w:pPr>
        <w:pBdr/>
        <w:spacing/>
        <w:ind w:hanging="360" w:left="4320"/>
      </w:pPr>
      <w:rPr>
        <w:strike w:val="0"/>
        <w:u w:val="none"/>
      </w:rPr>
      <w:start w:val="1"/>
      <w:suff w:val="tab"/>
    </w:lvl>
    <w:lvl w:ilvl="6">
      <w:isLgl w:val="false"/>
      <w:lvlJc w:val="left"/>
      <w:lvlText w:val="○"/>
      <w:numFmt w:val="bullet"/>
      <w:pPr>
        <w:pBdr/>
        <w:spacing/>
        <w:ind w:hanging="360" w:left="5040"/>
      </w:pPr>
      <w:rPr>
        <w:strike w:val="0"/>
        <w:u w:val="none"/>
      </w:rPr>
      <w:start w:val="1"/>
      <w:suff w:val="tab"/>
    </w:lvl>
    <w:lvl w:ilvl="7">
      <w:isLgl w:val="false"/>
      <w:lvlJc w:val="left"/>
      <w:lvlText w:val="◆"/>
      <w:numFmt w:val="bullet"/>
      <w:pPr>
        <w:pBdr/>
        <w:spacing/>
        <w:ind w:hanging="360" w:left="5760"/>
      </w:pPr>
      <w:rPr>
        <w:strike w:val="0"/>
        <w:u w:val="none"/>
      </w:rPr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>
        <w:strike w:val="0"/>
        <w:u w:val="none"/>
      </w:rPr>
      <w:start w:val="1"/>
      <w:suff w:val="tab"/>
    </w:lvl>
  </w:abstractNum>
  <w:abstractNum w:abstractNumId="1">
    <w:nsid w:val="08026563"/>
    <w:lvl w:ilvl="0">
      <w:isLgl w:val="false"/>
      <w:lvlJc w:val="left"/>
      <w:lvlText w:val="%1."/>
      <w:numFmt w:val="upperRoman"/>
      <w:pPr>
        <w:pBdr/>
        <w:spacing/>
        <w:ind w:hanging="720" w:left="144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8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4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40"/>
      </w:pPr>
      <w:rPr/>
      <w:start w:val="1"/>
      <w:suff w:val="tab"/>
    </w:lvl>
  </w:abstractNum>
  <w:abstractNum w:abstractNumId="2">
    <w:nsid w:val="08F003E1"/>
    <w:lvl w:ilvl="0">
      <w:isLgl w:val="false"/>
      <w:lvlJc w:val="right"/>
      <w:lvlText w:val="%1."/>
      <w:numFmt w:val="upperRoman"/>
      <w:pPr>
        <w:pBdr/>
        <w:spacing/>
        <w:ind w:hanging="360" w:left="720"/>
      </w:pPr>
      <w:rPr>
        <w:sz w:val="28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091D4BA8"/>
    <w:lvl w:ilvl="0">
      <w:isLgl w:val="false"/>
      <w:lvlJc w:val="left"/>
      <w:lvlText w:val="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">
    <w:nsid w:val="23C44770"/>
    <w:lvl w:ilvl="0">
      <w:isLgl w:val="false"/>
      <w:lvlJc w:val="left"/>
      <w:lvlText w:val="%1)"/>
      <w:numFmt w:val="lowerLetter"/>
      <w:pPr>
        <w:pBdr/>
        <w:spacing/>
        <w:ind w:hanging="36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8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4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40"/>
      </w:pPr>
      <w:rPr/>
      <w:start w:val="1"/>
      <w:suff w:val="tab"/>
    </w:lvl>
  </w:abstractNum>
  <w:abstractNum w:abstractNumId="5">
    <w:nsid w:val="2EF118A0"/>
    <w:lvl w:ilvl="0">
      <w:isLgl w:val="false"/>
      <w:lvlJc w:val="left"/>
      <w:lvlText w:val="%1)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">
    <w:nsid w:val="32F348CA"/>
    <w:lvl w:ilvl="0">
      <w:isLgl w:val="false"/>
      <w:lvlJc w:val="left"/>
      <w:lvlText w:val=""/>
      <w:numFmt w:val="bullet"/>
      <w:pPr>
        <w:pBdr/>
        <w:spacing/>
        <w:ind w:hanging="360" w:left="7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7">
    <w:nsid w:val="38C46737"/>
    <w:lvl w:ilvl="0">
      <w:isLgl w:val="false"/>
      <w:lvlJc w:val="left"/>
      <w:lvlText w:val=""/>
      <w:numFmt w:val="bullet"/>
      <w:pPr>
        <w:pBdr/>
        <w:spacing/>
        <w:ind w:hanging="360" w:left="7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8">
    <w:nsid w:val="515F635B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Calibri" w:hAnsi="Calibri" w:cs="Calibri" w:eastAsiaTheme="minorHAnsi"/>
      </w:rPr>
      <w:start w:val="3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9">
    <w:nsid w:val="694426EE"/>
    <w:lvl w:ilvl="0">
      <w:isLgl w:val="false"/>
      <w:lvlJc w:val="left"/>
      <w:lvlText w:val="%1."/>
      <w:numFmt w:val="upperRoman"/>
      <w:pPr>
        <w:pBdr/>
        <w:spacing/>
        <w:ind w:hanging="720" w:left="855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215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935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655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375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095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815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535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255"/>
      </w:pPr>
      <w:rPr/>
      <w:start w:val="1"/>
      <w:suff w:val="tab"/>
    </w:lvl>
  </w:abstractNum>
  <w:abstractNum w:abstractNumId="10">
    <w:nsid w:val="73584FA5"/>
    <w:lvl w:ilvl="0">
      <w:isLgl w:val="false"/>
      <w:lvlJc w:val="left"/>
      <w:lvlText w:val="-"/>
      <w:numFmt w:val="bullet"/>
      <w:pPr>
        <w:pBdr/>
        <w:spacing/>
        <w:ind w:hanging="360" w:left="927"/>
      </w:pPr>
      <w:rPr>
        <w:rFonts w:hint="default" w:ascii="Arial Narrow" w:hAnsi="Arial Narrow" w:eastAsia="Corbel" w:cs="Corbel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647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367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087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807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527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247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967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687"/>
      </w:pPr>
      <w:rPr>
        <w:rFonts w:hint="default" w:ascii="Wingdings" w:hAnsi="Wingdings"/>
      </w:rPr>
      <w:start w:val="1"/>
      <w:suff w:val="tab"/>
    </w:lvl>
  </w:abstractNum>
  <w:abstractNum w:abstractNumId="11">
    <w:nsid w:val="7B553EEF"/>
    <w:lvl w:ilvl="0">
      <w:isLgl w:val="false"/>
      <w:lvlJc w:val="left"/>
      <w:lvlText w:val="%1)"/>
      <w:numFmt w:val="lowerLetter"/>
      <w:pPr>
        <w:pBdr/>
        <w:spacing/>
        <w:ind w:hanging="360" w:left="4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1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3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0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7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80"/>
      </w:pPr>
      <w:rPr/>
      <w:start w:val="1"/>
      <w:suff w:val="tab"/>
    </w:lvl>
  </w:abstractNum>
  <w:abstractNum w:abstractNumId="12">
    <w:nsid w:val="7F565DC7"/>
    <w:lvl w:ilvl="0">
      <w:isLgl w:val="false"/>
      <w:lvlJc w:val="left"/>
      <w:lvlText w:val="%1)"/>
      <w:numFmt w:val="low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3">
    <w:nsid w:val="4885606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3A982C7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4E6472F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0FA828C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0750CE7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1BFF247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nsid w:val="7DA12BD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nsid w:val="70532C6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70c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">
    <w:nsid w:val="5CDFEFD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">
    <w:nsid w:val="4AF26F7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">
    <w:nsid w:val="191C669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">
    <w:nsid w:val="32494F3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">
    <w:nsid w:val="1B9D396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">
    <w:nsid w:val="1E9C6DD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">
    <w:nsid w:val="126A746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">
    <w:nsid w:val="202AA9A8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9">
    <w:nsid w:val="579703BA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0">
    <w:nsid w:val="22399EAB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1">
    <w:nsid w:val="3C2B892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">
    <w:nsid w:val="3C2B892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7"/>
  </w:num>
  <w:num w:numId="2">
    <w:abstractNumId w:val="0"/>
  </w:num>
  <w:num w:numId="3">
    <w:abstractNumId w:val="10"/>
  </w:num>
  <w:num w:numId="4">
    <w:abstractNumId w:val="6"/>
  </w:num>
  <w:num w:numId="5">
    <w:abstractNumId w:val="3"/>
  </w:num>
  <w:num w:numId="6">
    <w:abstractNumId w:val="2"/>
  </w:num>
  <w:num w:numId="7">
    <w:abstractNumId w:val="5"/>
  </w:num>
  <w:num w:numId="8">
    <w:abstractNumId w:val="8"/>
  </w:num>
  <w:num w:numId="9">
    <w:abstractNumId w:val="12"/>
  </w:num>
  <w:num w:numId="10">
    <w:abstractNumId w:val="4"/>
  </w:num>
  <w:num w:numId="11">
    <w:abstractNumId w:val="11"/>
  </w:num>
  <w:num w:numId="12">
    <w:abstractNumId w:val="1"/>
  </w:num>
  <w:num w:numId="13">
    <w:abstractNumId w:val="9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901">
    <w:name w:val="Table Grid Light"/>
    <w:basedOn w:val="108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Plain Table 1"/>
    <w:basedOn w:val="108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Plain Table 2"/>
    <w:basedOn w:val="108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Plain Table 3"/>
    <w:basedOn w:val="10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Plain Table 4"/>
    <w:basedOn w:val="10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Plain Table 5"/>
    <w:basedOn w:val="10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Grid Table 1 Light"/>
    <w:basedOn w:val="10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Grid Table 1 Light - Accent 1"/>
    <w:basedOn w:val="10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Grid Table 1 Light - Accent 2"/>
    <w:basedOn w:val="10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Grid Table 1 Light - Accent 3"/>
    <w:basedOn w:val="10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Grid Table 1 Light - Accent 4"/>
    <w:basedOn w:val="10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Grid Table 1 Light - Accent 5"/>
    <w:basedOn w:val="10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Grid Table 1 Light - Accent 6"/>
    <w:basedOn w:val="10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Grid Table 2"/>
    <w:basedOn w:val="10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Grid Table 2 - Accent 1"/>
    <w:basedOn w:val="10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Grid Table 2 - Accent 2"/>
    <w:basedOn w:val="10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Grid Table 2 - Accent 3"/>
    <w:basedOn w:val="10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Grid Table 2 - Accent 4"/>
    <w:basedOn w:val="10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Grid Table 2 - Accent 5"/>
    <w:basedOn w:val="10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Grid Table 2 - Accent 6"/>
    <w:basedOn w:val="10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Grid Table 3"/>
    <w:basedOn w:val="10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Grid Table 3 - Accent 1"/>
    <w:basedOn w:val="10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Grid Table 3 - Accent 2"/>
    <w:basedOn w:val="10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Grid Table 3 - Accent 3"/>
    <w:basedOn w:val="10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Grid Table 3 - Accent 4"/>
    <w:basedOn w:val="10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Grid Table 3 - Accent 5"/>
    <w:basedOn w:val="10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Grid Table 3 - Accent 6"/>
    <w:basedOn w:val="10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Grid Table 4"/>
    <w:basedOn w:val="108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Grid Table 4 - Accent 1"/>
    <w:basedOn w:val="108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Grid Table 4 - Accent 2"/>
    <w:basedOn w:val="108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Grid Table 4 - Accent 3"/>
    <w:basedOn w:val="108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Grid Table 4 - Accent 4"/>
    <w:basedOn w:val="108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Grid Table 4 - Accent 5"/>
    <w:basedOn w:val="108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Grid Table 4 - Accent 6"/>
    <w:basedOn w:val="108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Grid Table 5 Dark"/>
    <w:basedOn w:val="10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Grid Table 5 Dark- Accent 1"/>
    <w:basedOn w:val="10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Grid Table 5 Dark - Accent 2"/>
    <w:basedOn w:val="10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Grid Table 5 Dark - Accent 3"/>
    <w:basedOn w:val="10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Grid Table 5 Dark- Accent 4"/>
    <w:basedOn w:val="10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Grid Table 5 Dark - Accent 5"/>
    <w:basedOn w:val="10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Grid Table 5 Dark - Accent 6"/>
    <w:basedOn w:val="10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Grid Table 6 Colorful"/>
    <w:basedOn w:val="10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Grid Table 6 Colorful - Accent 1"/>
    <w:basedOn w:val="10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Grid Table 6 Colorful - Accent 2"/>
    <w:basedOn w:val="10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Grid Table 6 Colorful - Accent 3"/>
    <w:basedOn w:val="10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Grid Table 6 Colorful - Accent 4"/>
    <w:basedOn w:val="10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Grid Table 6 Colorful - Accent 5"/>
    <w:basedOn w:val="10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Grid Table 6 Colorful - Accent 6"/>
    <w:basedOn w:val="10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Grid Table 7 Colorful"/>
    <w:basedOn w:val="10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Grid Table 7 Colorful - Accent 1"/>
    <w:basedOn w:val="10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Grid Table 7 Colorful - Accent 2"/>
    <w:basedOn w:val="10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Grid Table 7 Colorful - Accent 3"/>
    <w:basedOn w:val="10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Grid Table 7 Colorful - Accent 4"/>
    <w:basedOn w:val="10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Grid Table 7 Colorful - Accent 5"/>
    <w:basedOn w:val="10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Grid Table 7 Colorful - Accent 6"/>
    <w:basedOn w:val="10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List Table 1 Light"/>
    <w:basedOn w:val="10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List Table 1 Light - Accent 1"/>
    <w:basedOn w:val="10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List Table 1 Light - Accent 2"/>
    <w:basedOn w:val="10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List Table 1 Light - Accent 3"/>
    <w:basedOn w:val="10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List Table 1 Light - Accent 4"/>
    <w:basedOn w:val="10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List Table 1 Light - Accent 5"/>
    <w:basedOn w:val="10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List Table 1 Light - Accent 6"/>
    <w:basedOn w:val="10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List Table 2"/>
    <w:basedOn w:val="10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List Table 2 - Accent 1"/>
    <w:basedOn w:val="10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List Table 2 - Accent 2"/>
    <w:basedOn w:val="10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List Table 2 - Accent 3"/>
    <w:basedOn w:val="10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List Table 2 - Accent 4"/>
    <w:basedOn w:val="10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List Table 2 - Accent 5"/>
    <w:basedOn w:val="10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List Table 2 - Accent 6"/>
    <w:basedOn w:val="10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List Table 3"/>
    <w:basedOn w:val="10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List Table 3 - Accent 1"/>
    <w:basedOn w:val="10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List Table 3 - Accent 2"/>
    <w:basedOn w:val="10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List Table 3 - Accent 3"/>
    <w:basedOn w:val="10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List Table 3 - Accent 4"/>
    <w:basedOn w:val="10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List Table 3 - Accent 5"/>
    <w:basedOn w:val="10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List Table 3 - Accent 6"/>
    <w:basedOn w:val="10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List Table 4"/>
    <w:basedOn w:val="10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List Table 4 - Accent 1"/>
    <w:basedOn w:val="10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List Table 4 - Accent 2"/>
    <w:basedOn w:val="10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List Table 4 - Accent 3"/>
    <w:basedOn w:val="10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List Table 4 - Accent 4"/>
    <w:basedOn w:val="10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List Table 4 - Accent 5"/>
    <w:basedOn w:val="10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List Table 4 - Accent 6"/>
    <w:basedOn w:val="10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List Table 5 Dark"/>
    <w:basedOn w:val="10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List Table 5 Dark - Accent 1"/>
    <w:basedOn w:val="10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List Table 5 Dark - Accent 2"/>
    <w:basedOn w:val="10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st Table 5 Dark - Accent 3"/>
    <w:basedOn w:val="10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st Table 5 Dark - Accent 4"/>
    <w:basedOn w:val="10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st Table 5 Dark - Accent 5"/>
    <w:basedOn w:val="10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st Table 5 Dark - Accent 6"/>
    <w:basedOn w:val="10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st Table 6 Colorful"/>
    <w:basedOn w:val="10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st Table 6 Colorful - Accent 1"/>
    <w:basedOn w:val="10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st Table 6 Colorful - Accent 2"/>
    <w:basedOn w:val="10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st Table 6 Colorful - Accent 3"/>
    <w:basedOn w:val="10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st Table 6 Colorful - Accent 4"/>
    <w:basedOn w:val="10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st Table 6 Colorful - Accent 5"/>
    <w:basedOn w:val="10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st Table 6 Colorful - Accent 6"/>
    <w:basedOn w:val="10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st Table 7 Colorful"/>
    <w:basedOn w:val="10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st Table 7 Colorful - Accent 1"/>
    <w:basedOn w:val="10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st Table 7 Colorful - Accent 2"/>
    <w:basedOn w:val="10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st Table 7 Colorful - Accent 3"/>
    <w:basedOn w:val="10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st Table 7 Colorful - Accent 4"/>
    <w:basedOn w:val="10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List Table 7 Colorful - Accent 5"/>
    <w:basedOn w:val="10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st Table 7 Colorful - Accent 6"/>
    <w:basedOn w:val="10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ned - Accent"/>
    <w:basedOn w:val="10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ned - Accent 1"/>
    <w:basedOn w:val="10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ned - Accent 2"/>
    <w:basedOn w:val="10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Lined - Accent 3"/>
    <w:basedOn w:val="10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Lined - Accent 4"/>
    <w:basedOn w:val="10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Lined - Accent 5"/>
    <w:basedOn w:val="10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Lined - Accent 6"/>
    <w:basedOn w:val="10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Bordered &amp; Lined - Accent"/>
    <w:basedOn w:val="10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Bordered &amp; Lined - Accent 1"/>
    <w:basedOn w:val="10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Bordered &amp; Lined - Accent 2"/>
    <w:basedOn w:val="10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Bordered &amp; Lined - Accent 3"/>
    <w:basedOn w:val="10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Bordered &amp; Lined - Accent 4"/>
    <w:basedOn w:val="10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Bordered &amp; Lined - Accent 5"/>
    <w:basedOn w:val="10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Bordered &amp; Lined - Accent 6"/>
    <w:basedOn w:val="10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Bordered"/>
    <w:basedOn w:val="10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Bordered - Accent 1"/>
    <w:basedOn w:val="10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Bordered - Accent 2"/>
    <w:basedOn w:val="10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Bordered - Accent 3"/>
    <w:basedOn w:val="10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Bordered - Accent 4"/>
    <w:basedOn w:val="10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Bordered - Accent 5"/>
    <w:basedOn w:val="10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Bordered - Accent 6"/>
    <w:basedOn w:val="10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26">
    <w:name w:val="Heading 2"/>
    <w:basedOn w:val="1080"/>
    <w:next w:val="1080"/>
    <w:link w:val="1035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027">
    <w:name w:val="Heading 3"/>
    <w:basedOn w:val="1080"/>
    <w:next w:val="1080"/>
    <w:link w:val="1036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028">
    <w:name w:val="Heading 4"/>
    <w:basedOn w:val="1080"/>
    <w:next w:val="1080"/>
    <w:link w:val="1037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029">
    <w:name w:val="Heading 5"/>
    <w:basedOn w:val="1080"/>
    <w:next w:val="1080"/>
    <w:link w:val="1038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030">
    <w:name w:val="Heading 6"/>
    <w:basedOn w:val="1080"/>
    <w:next w:val="1080"/>
    <w:link w:val="1039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031">
    <w:name w:val="Heading 7"/>
    <w:basedOn w:val="1080"/>
    <w:next w:val="1080"/>
    <w:link w:val="1040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032">
    <w:name w:val="Heading 8"/>
    <w:basedOn w:val="1080"/>
    <w:next w:val="1080"/>
    <w:link w:val="1041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033">
    <w:name w:val="Heading 9"/>
    <w:basedOn w:val="1080"/>
    <w:next w:val="1080"/>
    <w:link w:val="1042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034">
    <w:name w:val="Heading 1 Char"/>
    <w:basedOn w:val="1082"/>
    <w:link w:val="108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035">
    <w:name w:val="Heading 2 Char"/>
    <w:basedOn w:val="1082"/>
    <w:link w:val="10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036">
    <w:name w:val="Heading 3 Char"/>
    <w:basedOn w:val="1082"/>
    <w:link w:val="10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037">
    <w:name w:val="Heading 4 Char"/>
    <w:basedOn w:val="1082"/>
    <w:link w:val="102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038">
    <w:name w:val="Heading 5 Char"/>
    <w:basedOn w:val="1082"/>
    <w:link w:val="10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039">
    <w:name w:val="Heading 6 Char"/>
    <w:basedOn w:val="1082"/>
    <w:link w:val="103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040">
    <w:name w:val="Heading 7 Char"/>
    <w:basedOn w:val="1082"/>
    <w:link w:val="103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041">
    <w:name w:val="Heading 8 Char"/>
    <w:basedOn w:val="1082"/>
    <w:link w:val="103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042">
    <w:name w:val="Heading 9 Char"/>
    <w:basedOn w:val="1082"/>
    <w:link w:val="103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043">
    <w:name w:val="Title"/>
    <w:basedOn w:val="1080"/>
    <w:next w:val="1080"/>
    <w:link w:val="1044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044">
    <w:name w:val="Title Char"/>
    <w:basedOn w:val="1082"/>
    <w:link w:val="1043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045">
    <w:name w:val="Subtitle"/>
    <w:basedOn w:val="1080"/>
    <w:next w:val="1080"/>
    <w:link w:val="1046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046">
    <w:name w:val="Subtitle Char"/>
    <w:basedOn w:val="1082"/>
    <w:link w:val="1045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047">
    <w:name w:val="Quote"/>
    <w:basedOn w:val="1080"/>
    <w:next w:val="1080"/>
    <w:link w:val="1048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048">
    <w:name w:val="Quote Char"/>
    <w:basedOn w:val="1082"/>
    <w:link w:val="104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049">
    <w:name w:val="Intense Emphasis"/>
    <w:basedOn w:val="108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050">
    <w:name w:val="Intense Quote"/>
    <w:basedOn w:val="1080"/>
    <w:next w:val="1080"/>
    <w:link w:val="1051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051">
    <w:name w:val="Intense Quote Char"/>
    <w:basedOn w:val="1082"/>
    <w:link w:val="1050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052">
    <w:name w:val="Intense Reference"/>
    <w:basedOn w:val="108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053">
    <w:name w:val="Subtle Emphasis"/>
    <w:basedOn w:val="108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054">
    <w:name w:val="Emphasis"/>
    <w:basedOn w:val="1082"/>
    <w:uiPriority w:val="20"/>
    <w:qFormat/>
    <w:pPr>
      <w:pBdr/>
      <w:spacing/>
      <w:ind/>
    </w:pPr>
    <w:rPr>
      <w:i/>
      <w:iCs/>
    </w:rPr>
  </w:style>
  <w:style w:type="character" w:styleId="1055">
    <w:name w:val="Strong"/>
    <w:basedOn w:val="1082"/>
    <w:uiPriority w:val="22"/>
    <w:qFormat/>
    <w:pPr>
      <w:pBdr/>
      <w:spacing/>
      <w:ind/>
    </w:pPr>
    <w:rPr>
      <w:b/>
      <w:bCs/>
    </w:rPr>
  </w:style>
  <w:style w:type="character" w:styleId="1056">
    <w:name w:val="Subtle Reference"/>
    <w:basedOn w:val="108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057">
    <w:name w:val="Book Title"/>
    <w:basedOn w:val="1082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058">
    <w:name w:val="Header Char"/>
    <w:basedOn w:val="1082"/>
    <w:link w:val="1087"/>
    <w:uiPriority w:val="99"/>
    <w:pPr>
      <w:pBdr/>
      <w:spacing/>
      <w:ind/>
    </w:pPr>
  </w:style>
  <w:style w:type="character" w:styleId="1059">
    <w:name w:val="Footer Char"/>
    <w:basedOn w:val="1082"/>
    <w:link w:val="1089"/>
    <w:uiPriority w:val="99"/>
    <w:pPr>
      <w:pBdr/>
      <w:spacing/>
      <w:ind/>
    </w:pPr>
  </w:style>
  <w:style w:type="paragraph" w:styleId="1060">
    <w:name w:val="Caption"/>
    <w:basedOn w:val="1080"/>
    <w:next w:val="108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061">
    <w:name w:val="footnote text"/>
    <w:basedOn w:val="1080"/>
    <w:link w:val="106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062">
    <w:name w:val="Footnote Text Char"/>
    <w:basedOn w:val="1082"/>
    <w:link w:val="1061"/>
    <w:uiPriority w:val="99"/>
    <w:semiHidden/>
    <w:pPr>
      <w:pBdr/>
      <w:spacing/>
      <w:ind/>
    </w:pPr>
    <w:rPr>
      <w:sz w:val="20"/>
      <w:szCs w:val="20"/>
    </w:rPr>
  </w:style>
  <w:style w:type="character" w:styleId="1063">
    <w:name w:val="footnote reference"/>
    <w:basedOn w:val="1082"/>
    <w:uiPriority w:val="99"/>
    <w:semiHidden/>
    <w:unhideWhenUsed/>
    <w:pPr>
      <w:pBdr/>
      <w:spacing/>
      <w:ind/>
    </w:pPr>
    <w:rPr>
      <w:vertAlign w:val="superscript"/>
    </w:rPr>
  </w:style>
  <w:style w:type="paragraph" w:styleId="1064">
    <w:name w:val="endnote text"/>
    <w:basedOn w:val="1080"/>
    <w:link w:val="106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065">
    <w:name w:val="Endnote Text Char"/>
    <w:basedOn w:val="1082"/>
    <w:link w:val="1064"/>
    <w:uiPriority w:val="99"/>
    <w:semiHidden/>
    <w:pPr>
      <w:pBdr/>
      <w:spacing/>
      <w:ind/>
    </w:pPr>
    <w:rPr>
      <w:sz w:val="20"/>
      <w:szCs w:val="20"/>
    </w:rPr>
  </w:style>
  <w:style w:type="character" w:styleId="1066">
    <w:name w:val="endnote reference"/>
    <w:basedOn w:val="1082"/>
    <w:uiPriority w:val="99"/>
    <w:semiHidden/>
    <w:unhideWhenUsed/>
    <w:pPr>
      <w:pBdr/>
      <w:spacing/>
      <w:ind/>
    </w:pPr>
    <w:rPr>
      <w:vertAlign w:val="superscript"/>
    </w:rPr>
  </w:style>
  <w:style w:type="character" w:styleId="1067">
    <w:name w:val="FollowedHyperlink"/>
    <w:basedOn w:val="108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068">
    <w:name w:val="toc 1"/>
    <w:basedOn w:val="1080"/>
    <w:next w:val="1080"/>
    <w:uiPriority w:val="39"/>
    <w:unhideWhenUsed/>
    <w:pPr>
      <w:pBdr/>
      <w:spacing w:after="100"/>
      <w:ind/>
    </w:pPr>
  </w:style>
  <w:style w:type="paragraph" w:styleId="1069">
    <w:name w:val="toc 2"/>
    <w:basedOn w:val="1080"/>
    <w:next w:val="1080"/>
    <w:uiPriority w:val="39"/>
    <w:unhideWhenUsed/>
    <w:pPr>
      <w:pBdr/>
      <w:spacing w:after="100"/>
      <w:ind w:left="220"/>
    </w:pPr>
  </w:style>
  <w:style w:type="paragraph" w:styleId="1070">
    <w:name w:val="toc 3"/>
    <w:basedOn w:val="1080"/>
    <w:next w:val="1080"/>
    <w:uiPriority w:val="39"/>
    <w:unhideWhenUsed/>
    <w:pPr>
      <w:pBdr/>
      <w:spacing w:after="100"/>
      <w:ind w:left="440"/>
    </w:pPr>
  </w:style>
  <w:style w:type="paragraph" w:styleId="1071">
    <w:name w:val="toc 4"/>
    <w:basedOn w:val="1080"/>
    <w:next w:val="1080"/>
    <w:uiPriority w:val="39"/>
    <w:unhideWhenUsed/>
    <w:pPr>
      <w:pBdr/>
      <w:spacing w:after="100"/>
      <w:ind w:left="660"/>
    </w:pPr>
  </w:style>
  <w:style w:type="paragraph" w:styleId="1072">
    <w:name w:val="toc 5"/>
    <w:basedOn w:val="1080"/>
    <w:next w:val="1080"/>
    <w:uiPriority w:val="39"/>
    <w:unhideWhenUsed/>
    <w:pPr>
      <w:pBdr/>
      <w:spacing w:after="100"/>
      <w:ind w:left="880"/>
    </w:pPr>
  </w:style>
  <w:style w:type="paragraph" w:styleId="1073">
    <w:name w:val="toc 6"/>
    <w:basedOn w:val="1080"/>
    <w:next w:val="1080"/>
    <w:uiPriority w:val="39"/>
    <w:unhideWhenUsed/>
    <w:pPr>
      <w:pBdr/>
      <w:spacing w:after="100"/>
      <w:ind w:left="1100"/>
    </w:pPr>
  </w:style>
  <w:style w:type="paragraph" w:styleId="1074">
    <w:name w:val="toc 7"/>
    <w:basedOn w:val="1080"/>
    <w:next w:val="1080"/>
    <w:uiPriority w:val="39"/>
    <w:unhideWhenUsed/>
    <w:pPr>
      <w:pBdr/>
      <w:spacing w:after="100"/>
      <w:ind w:left="1320"/>
    </w:pPr>
  </w:style>
  <w:style w:type="paragraph" w:styleId="1075">
    <w:name w:val="toc 8"/>
    <w:basedOn w:val="1080"/>
    <w:next w:val="1080"/>
    <w:uiPriority w:val="39"/>
    <w:unhideWhenUsed/>
    <w:pPr>
      <w:pBdr/>
      <w:spacing w:after="100"/>
      <w:ind w:left="1540"/>
    </w:pPr>
  </w:style>
  <w:style w:type="paragraph" w:styleId="1076">
    <w:name w:val="toc 9"/>
    <w:basedOn w:val="1080"/>
    <w:next w:val="1080"/>
    <w:uiPriority w:val="39"/>
    <w:unhideWhenUsed/>
    <w:pPr>
      <w:pBdr/>
      <w:spacing w:after="100"/>
      <w:ind w:left="1760"/>
    </w:pPr>
  </w:style>
  <w:style w:type="character" w:styleId="1077">
    <w:name w:val="Placeholder Text"/>
    <w:basedOn w:val="1082"/>
    <w:uiPriority w:val="99"/>
    <w:semiHidden/>
    <w:pPr>
      <w:pBdr/>
      <w:spacing/>
      <w:ind/>
    </w:pPr>
    <w:rPr>
      <w:color w:val="666666"/>
    </w:rPr>
  </w:style>
  <w:style w:type="paragraph" w:styleId="1078">
    <w:name w:val="TOC Heading"/>
    <w:uiPriority w:val="39"/>
    <w:unhideWhenUsed/>
    <w:pPr>
      <w:pBdr/>
      <w:spacing/>
      <w:ind/>
    </w:pPr>
  </w:style>
  <w:style w:type="paragraph" w:styleId="1079">
    <w:name w:val="table of figures"/>
    <w:basedOn w:val="1080"/>
    <w:next w:val="1080"/>
    <w:uiPriority w:val="99"/>
    <w:unhideWhenUsed/>
    <w:pPr>
      <w:pBdr/>
      <w:spacing w:after="0" w:afterAutospacing="0"/>
      <w:ind/>
    </w:pPr>
  </w:style>
  <w:style w:type="paragraph" w:styleId="1080" w:default="1">
    <w:name w:val="Normal"/>
    <w:qFormat/>
    <w:pPr>
      <w:pBdr/>
      <w:spacing/>
      <w:ind/>
    </w:pPr>
  </w:style>
  <w:style w:type="paragraph" w:styleId="1081">
    <w:name w:val="Heading 1"/>
    <w:basedOn w:val="1080"/>
    <w:next w:val="1080"/>
    <w:link w:val="1094"/>
    <w:uiPriority w:val="9"/>
    <w:qFormat/>
    <w:pPr>
      <w:keepNext w:val="true"/>
      <w:keepLines w:val="true"/>
      <w:pBdr/>
      <w:spacing w:after="120" w:before="400" w:line="276" w:lineRule="auto"/>
      <w:ind/>
      <w:outlineLvl w:val="0"/>
    </w:pPr>
    <w:rPr>
      <w:rFonts w:ascii="Arial" w:hAnsi="Arial" w:eastAsia="Times New Roman" w:cs="Arial"/>
      <w:sz w:val="40"/>
      <w:szCs w:val="40"/>
      <w:lang w:val="en"/>
    </w:rPr>
  </w:style>
  <w:style w:type="character" w:styleId="1082" w:default="1">
    <w:name w:val="Default Paragraph Font"/>
    <w:uiPriority w:val="1"/>
    <w:semiHidden/>
    <w:unhideWhenUsed/>
    <w:pPr>
      <w:pBdr/>
      <w:spacing/>
      <w:ind/>
    </w:pPr>
  </w:style>
  <w:style w:type="table" w:styleId="108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084" w:default="1">
    <w:name w:val="No List"/>
    <w:uiPriority w:val="99"/>
    <w:semiHidden/>
    <w:unhideWhenUsed/>
    <w:pPr>
      <w:pBdr/>
      <w:spacing/>
      <w:ind/>
    </w:pPr>
  </w:style>
  <w:style w:type="table" w:styleId="1085">
    <w:name w:val="Table Grid"/>
    <w:basedOn w:val="1083"/>
    <w:pPr>
      <w:pBdr/>
      <w:spacing w:after="0" w:line="240" w:lineRule="auto"/>
      <w:ind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086" w:customStyle="1">
    <w:name w:val="En-tête Car"/>
    <w:basedOn w:val="1082"/>
    <w:link w:val="1087"/>
    <w:uiPriority w:val="99"/>
    <w:pPr>
      <w:pBdr/>
      <w:spacing/>
      <w:ind/>
    </w:pPr>
  </w:style>
  <w:style w:type="paragraph" w:styleId="1087">
    <w:name w:val="Header"/>
    <w:basedOn w:val="1080"/>
    <w:link w:val="1086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1088" w:customStyle="1">
    <w:name w:val="Pied de page Car"/>
    <w:basedOn w:val="1082"/>
    <w:link w:val="1089"/>
    <w:uiPriority w:val="99"/>
    <w:pPr>
      <w:pBdr/>
      <w:spacing/>
      <w:ind/>
    </w:pPr>
  </w:style>
  <w:style w:type="paragraph" w:styleId="1089">
    <w:name w:val="Footer"/>
    <w:basedOn w:val="1080"/>
    <w:link w:val="1088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1090" w:customStyle="1">
    <w:name w:val="Style1 Car"/>
    <w:link w:val="1091"/>
    <w:pPr>
      <w:pBdr/>
      <w:spacing/>
      <w:ind/>
    </w:pPr>
    <w:rPr>
      <w:rFonts w:ascii="Tahoma" w:hAnsi="Tahoma" w:cs="Tahoma"/>
    </w:rPr>
  </w:style>
  <w:style w:type="paragraph" w:styleId="1091" w:customStyle="1">
    <w:name w:val="Style1"/>
    <w:basedOn w:val="1092"/>
    <w:link w:val="1090"/>
    <w:qFormat/>
    <w:pPr>
      <w:pBdr/>
      <w:spacing/>
      <w:ind/>
    </w:pPr>
    <w:rPr>
      <w:rFonts w:ascii="Tahoma" w:hAnsi="Tahoma" w:cs="Tahoma"/>
    </w:rPr>
  </w:style>
  <w:style w:type="paragraph" w:styleId="1092">
    <w:name w:val="No Spacing"/>
    <w:uiPriority w:val="1"/>
    <w:qFormat/>
    <w:pPr>
      <w:pBdr/>
      <w:spacing w:after="0" w:line="240" w:lineRule="auto"/>
      <w:ind/>
    </w:pPr>
  </w:style>
  <w:style w:type="paragraph" w:styleId="1093">
    <w:name w:val="List Paragraph"/>
    <w:basedOn w:val="1080"/>
    <w:uiPriority w:val="34"/>
    <w:qFormat/>
    <w:pPr>
      <w:pBdr/>
      <w:spacing w:line="256" w:lineRule="auto"/>
      <w:ind w:left="720"/>
      <w:contextualSpacing w:val="true"/>
    </w:pPr>
  </w:style>
  <w:style w:type="character" w:styleId="1094" w:customStyle="1">
    <w:name w:val="Titre 1 Car"/>
    <w:basedOn w:val="1082"/>
    <w:link w:val="1081"/>
    <w:uiPriority w:val="9"/>
    <w:pPr>
      <w:pBdr/>
      <w:spacing/>
      <w:ind/>
    </w:pPr>
    <w:rPr>
      <w:rFonts w:ascii="Arial" w:hAnsi="Arial" w:eastAsia="Times New Roman" w:cs="Arial"/>
      <w:sz w:val="40"/>
      <w:szCs w:val="40"/>
      <w:lang w:val="en"/>
    </w:rPr>
  </w:style>
  <w:style w:type="paragraph" w:styleId="1095">
    <w:name w:val="Body Text"/>
    <w:basedOn w:val="1080"/>
    <w:link w:val="1096"/>
    <w:uiPriority w:val="1"/>
    <w:semiHidden/>
    <w:unhideWhenUsed/>
    <w:qFormat/>
    <w:pPr>
      <w:widowControl w:val="false"/>
      <w:pBdr/>
      <w:spacing w:after="0" w:line="240" w:lineRule="auto"/>
      <w:ind w:hanging="282" w:left="819"/>
    </w:pPr>
    <w:rPr>
      <w:rFonts w:ascii="Corbel" w:hAnsi="Corbel" w:eastAsia="Corbel" w:cs="Corbel"/>
      <w:sz w:val="24"/>
      <w:szCs w:val="24"/>
    </w:rPr>
  </w:style>
  <w:style w:type="character" w:styleId="1096" w:customStyle="1">
    <w:name w:val="Corps de texte Car"/>
    <w:basedOn w:val="1082"/>
    <w:link w:val="1095"/>
    <w:uiPriority w:val="1"/>
    <w:semiHidden/>
    <w:pPr>
      <w:pBdr/>
      <w:spacing/>
      <w:ind/>
    </w:pPr>
    <w:rPr>
      <w:rFonts w:ascii="Corbel" w:hAnsi="Corbel" w:eastAsia="Corbel" w:cs="Corbel"/>
      <w:sz w:val="24"/>
      <w:szCs w:val="24"/>
    </w:rPr>
  </w:style>
  <w:style w:type="character" w:styleId="1097">
    <w:name w:val="Hyperlink"/>
    <w:basedOn w:val="1082"/>
    <w:uiPriority w:val="99"/>
    <w:semiHidden/>
    <w:unhideWhenUsed/>
    <w:pPr>
      <w:pBdr/>
      <w:spacing/>
      <w:ind/>
    </w:pPr>
    <w:rPr>
      <w:color w:val="0563c1" w:themeColor="hyperlink"/>
      <w:u w:val="single"/>
    </w:rPr>
  </w:style>
  <w:style w:type="table" w:styleId="1098">
    <w:name w:val="List Table 3 Accent 1"/>
    <w:basedOn w:val="1083"/>
    <w:uiPriority w:val="48"/>
    <w:pPr>
      <w:pBdr/>
      <w:spacing w:after="0" w:line="240" w:lineRule="auto"/>
      <w:ind/>
    </w:pPr>
    <w:tblPr>
      <w:tblStyleRowBandSize w:val="1"/>
      <w:tblStyleColBandSize w:val="1"/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472c4" w:themeColor="accent1" w:sz="4" w:space="0"/>
          <w:bottom w:val="single" w:color="4472c4" w:themeColor="accen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4472c4" w:themeColor="accent1" w:sz="4" w:space="0"/>
          <w:right w:val="single" w:color="4472c4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472c4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left w:val="none" w:color="000000" w:sz="4" w:space="0"/>
        </w:tcBorders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472c4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>
          <w:bottom w:val="none" w:color="000000" w:sz="4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left w:val="none" w:color="000000" w:sz="4" w:space="0"/>
          <w:bottom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>
          <w:top w:val="single" w:color="4472c4" w:themeColor="accent1" w:sz="4" w:space="0"/>
          <w:right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>
          <w:top w:val="single" w:color="4472c4" w:themeColor="accent1" w:sz="4" w:space="0"/>
          <w:left w:val="none" w:color="000000" w:sz="4" w:space="0"/>
        </w:tcBorders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footer" Target="footer1.xml" /><Relationship Id="rId12" Type="http://schemas.openxmlformats.org/officeDocument/2006/relationships/footer" Target="footer2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Teddy NGOU MILAMA</dc:creator>
  <cp:keywords/>
  <dc:description/>
  <cp:revision>13</cp:revision>
  <dcterms:created xsi:type="dcterms:W3CDTF">2024-12-18T09:23:00Z</dcterms:created>
  <dcterms:modified xsi:type="dcterms:W3CDTF">2026-03-12T18:22:46Z</dcterms:modified>
</cp:coreProperties>
</file>