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  <w:t>电视猫BI组件迁移说明书</w:t>
      </w: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32"/>
          <w:u w:val="single"/>
          <w:lang w:val="en-US" w:eastAsia="zh-CN"/>
        </w:rPr>
      </w:pPr>
      <w:r>
        <w:rPr>
          <w:rFonts w:hint="eastAsia"/>
          <w:b/>
          <w:bCs/>
          <w:sz w:val="24"/>
          <w:szCs w:val="32"/>
          <w:u w:val="single"/>
          <w:lang w:val="en-US" w:eastAsia="zh-CN"/>
        </w:rPr>
        <w:t>组件描述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组件逻辑结构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86639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66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组件清单</w:t>
      </w:r>
    </w:p>
    <w:tbl>
      <w:tblPr>
        <w:tblStyle w:val="4"/>
        <w:tblW w:w="8522" w:type="dxa"/>
        <w:jc w:val="righ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1761"/>
        <w:gridCol w:w="3848"/>
        <w:gridCol w:w="15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39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层级</w:t>
            </w:r>
          </w:p>
        </w:tc>
        <w:tc>
          <w:tcPr>
            <w:tcW w:w="17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类别</w:t>
            </w:r>
          </w:p>
        </w:tc>
        <w:tc>
          <w:tcPr>
            <w:tcW w:w="38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文件清单</w:t>
            </w:r>
          </w:p>
        </w:tc>
        <w:tc>
          <w:tcPr>
            <w:tcW w:w="15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39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数据源</w:t>
            </w:r>
          </w:p>
        </w:tc>
        <w:tc>
          <w:tcPr>
            <w:tcW w:w="17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Parquet文件</w:t>
            </w:r>
          </w:p>
        </w:tc>
        <w:tc>
          <w:tcPr>
            <w:tcW w:w="38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/log/medusa/parquet/*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/log/medusaAndMoretvMerger/*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/log/medusa/test/parquet/*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/log/medusa/temple/*</w:t>
            </w:r>
          </w:p>
        </w:tc>
        <w:tc>
          <w:tcPr>
            <w:tcW w:w="15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395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txt/csv/json等</w:t>
            </w:r>
          </w:p>
        </w:tc>
        <w:tc>
          <w:tcPr>
            <w:tcW w:w="38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/log/medusa/temple/*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/log/ipLocationData/*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/log/medusa_crash/rawlog/*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/test/config.json</w:t>
            </w:r>
          </w:p>
        </w:tc>
        <w:tc>
          <w:tcPr>
            <w:tcW w:w="15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395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redis数据库</w:t>
            </w:r>
          </w:p>
        </w:tc>
        <w:tc>
          <w:tcPr>
            <w:tcW w:w="38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Ip: 1-3; port: 6379; db:0,1,2,3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Ip: 2-17; port:6379;db: 0</w:t>
            </w:r>
          </w:p>
        </w:tc>
        <w:tc>
          <w:tcPr>
            <w:tcW w:w="15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395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mySQL数据库</w:t>
            </w:r>
          </w:p>
        </w:tc>
        <w:tc>
          <w:tcPr>
            <w:tcW w:w="38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Ip: 2-15; db: bi库/eagletv库/tvservice库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Ip: 2-17; db: ucenter库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Ip: 2-18; db: terminal_upgrade库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Ip:2-19; db: tvservice库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Ip:2-23; db: mtv_cms库</w:t>
            </w:r>
          </w:p>
        </w:tc>
        <w:tc>
          <w:tcPr>
            <w:tcW w:w="15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39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执行层</w:t>
            </w:r>
          </w:p>
        </w:tc>
        <w:tc>
          <w:tcPr>
            <w:tcW w:w="17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Jar包与shell脚本</w:t>
            </w:r>
          </w:p>
        </w:tc>
        <w:tc>
          <w:tcPr>
            <w:tcW w:w="38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Ip: 2-17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用户：spark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目录：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/script/bi/medusa/*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/script/bi/ba/*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/script/medusa_crash/*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/script/crash/*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Ip: 2-16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用户：spark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目录：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/script/bi/medusa/*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/script/bi/weixin/*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/script/bi/medusa/*</w:t>
            </w:r>
          </w:p>
        </w:tc>
        <w:tc>
          <w:tcPr>
            <w:tcW w:w="15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39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结果层</w:t>
            </w:r>
          </w:p>
        </w:tc>
        <w:tc>
          <w:tcPr>
            <w:tcW w:w="17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ES</w:t>
            </w:r>
          </w:p>
        </w:tc>
        <w:tc>
          <w:tcPr>
            <w:tcW w:w="38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1-9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medusa库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395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Parquet</w:t>
            </w:r>
          </w:p>
        </w:tc>
        <w:tc>
          <w:tcPr>
            <w:tcW w:w="38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/log/medusa/temple/*</w:t>
            </w:r>
          </w:p>
        </w:tc>
        <w:tc>
          <w:tcPr>
            <w:tcW w:w="15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395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</w:t>
            </w:r>
          </w:p>
        </w:tc>
        <w:tc>
          <w:tcPr>
            <w:tcW w:w="38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2-15: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medusa库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bi库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eagletv库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metis库</w:t>
            </w:r>
          </w:p>
        </w:tc>
        <w:tc>
          <w:tcPr>
            <w:tcW w:w="15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32"/>
          <w:u w:val="single"/>
          <w:lang w:val="en-US" w:eastAsia="zh-CN"/>
        </w:rPr>
      </w:pPr>
      <w:r>
        <w:rPr>
          <w:rFonts w:hint="eastAsia"/>
          <w:b/>
          <w:bCs/>
          <w:sz w:val="24"/>
          <w:szCs w:val="32"/>
          <w:u w:val="single"/>
          <w:lang w:val="en-US" w:eastAsia="zh-CN"/>
        </w:rPr>
        <w:t>迁移步骤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前置条件</w:t>
      </w:r>
    </w:p>
    <w:p>
      <w:pPr>
        <w:numPr>
          <w:ilvl w:val="0"/>
          <w:numId w:val="4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HDFS环境部署完成</w:t>
      </w:r>
    </w:p>
    <w:p>
      <w:pPr>
        <w:numPr>
          <w:ilvl w:val="0"/>
          <w:numId w:val="4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Spark环境部署完成</w:t>
      </w:r>
    </w:p>
    <w:p>
      <w:pPr>
        <w:numPr>
          <w:ilvl w:val="0"/>
          <w:numId w:val="4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ES服务部署完成</w:t>
      </w:r>
    </w:p>
    <w:p>
      <w:pPr>
        <w:numPr>
          <w:ilvl w:val="0"/>
          <w:numId w:val="4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MySQL环境部署完成</w:t>
      </w:r>
    </w:p>
    <w:p>
      <w:pPr>
        <w:numPr>
          <w:ilvl w:val="0"/>
          <w:numId w:val="4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Redis环境部署完成</w:t>
      </w:r>
    </w:p>
    <w:p>
      <w:pPr>
        <w:numPr>
          <w:ilvl w:val="0"/>
          <w:numId w:val="4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源数据准备OK</w:t>
      </w:r>
    </w:p>
    <w:p>
      <w:pPr>
        <w:numPr>
          <w:ilvl w:val="0"/>
          <w:numId w:val="4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日志流服务正常工作</w:t>
      </w:r>
    </w:p>
    <w:p>
      <w:pPr>
        <w:numPr>
          <w:ilvl w:val="0"/>
          <w:numId w:val="4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BI可视化后台接口和前端服务接口正常工作</w:t>
      </w:r>
    </w:p>
    <w:p>
      <w:pPr>
        <w:numPr>
          <w:ilvl w:val="0"/>
          <w:numId w:val="4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邮件告警服务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迁移步骤</w:t>
      </w:r>
    </w:p>
    <w:p>
      <w:pPr>
        <w:numPr>
          <w:ilvl w:val="0"/>
          <w:numId w:val="5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rawlog/parquet日志迁移；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迁移前文所述的HDFS中的parquet文件</w:t>
      </w:r>
    </w:p>
    <w:p>
      <w:pPr>
        <w:numPr>
          <w:ilvl w:val="0"/>
          <w:numId w:val="5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txt/csv/json等文件迁移；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迁移前文所述的HDFS中的重要非日志型文件</w:t>
      </w:r>
    </w:p>
    <w:p>
      <w:pPr>
        <w:numPr>
          <w:ilvl w:val="0"/>
          <w:numId w:val="5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ES数据迁移；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迁移前文所述的Elastic Search中的历史结果数据</w:t>
      </w:r>
    </w:p>
    <w:p>
      <w:pPr>
        <w:numPr>
          <w:ilvl w:val="0"/>
          <w:numId w:val="5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MySQL与Redis数据迁移；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迁移前文所述的MySQL和Redis数据库中的所有数据</w:t>
      </w:r>
    </w:p>
    <w:p>
      <w:pPr>
        <w:numPr>
          <w:ilvl w:val="0"/>
          <w:numId w:val="5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Jar包与shell脚本迁移；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迁移前文所述的执行程序的jar包以及相关的shell脚本</w:t>
      </w:r>
    </w:p>
    <w:p>
      <w:pPr>
        <w:numPr>
          <w:ilvl w:val="0"/>
          <w:numId w:val="5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crontab配置信息迁移;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迁移前文所述的crontab的定时调度脚本配置</w:t>
      </w:r>
    </w:p>
    <w:p>
      <w:pPr>
        <w:numPr>
          <w:ilvl w:val="0"/>
          <w:numId w:val="5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杭州机房的结果数据同步至北京机房db1与db2；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完成杭州机房和北京机房的数据库同步，杭州机房为主库，北京机房为从库</w:t>
      </w:r>
    </w:p>
    <w:p>
      <w:pPr>
        <w:numPr>
          <w:ilvl w:val="0"/>
          <w:numId w:val="5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切断杭州机房数据同步至db1，启动服务，定时写入数据至db1；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切断杭州机房和北京机房的数据库同步机制</w:t>
      </w:r>
      <w:bookmarkStart w:id="0" w:name="_GoBack"/>
      <w:bookmarkEnd w:id="0"/>
    </w:p>
    <w:p>
      <w:pPr>
        <w:numPr>
          <w:ilvl w:val="0"/>
          <w:numId w:val="5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新机房BI服务与杭州BI服务并行运行；</w:t>
      </w:r>
    </w:p>
    <w:p>
      <w:pPr>
        <w:numPr>
          <w:ilvl w:val="0"/>
          <w:numId w:val="5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对比分析两套BI环境产生的数据，对比db1与db2中的数据；</w:t>
      </w:r>
    </w:p>
    <w:p>
      <w:pPr>
        <w:numPr>
          <w:ilvl w:val="0"/>
          <w:numId w:val="5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前端配置</w:t>
      </w:r>
    </w:p>
    <w:p>
      <w:pPr>
        <w:numPr>
          <w:ilvl w:val="0"/>
          <w:numId w:val="5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服务正式切换至新机房的BI环境，切断杭州服务。</w:t>
      </w: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32"/>
          <w:u w:val="single"/>
          <w:lang w:val="en-US" w:eastAsia="zh-CN"/>
        </w:rPr>
      </w:pPr>
      <w:r>
        <w:rPr>
          <w:rFonts w:hint="eastAsia"/>
          <w:b/>
          <w:bCs/>
          <w:sz w:val="24"/>
          <w:szCs w:val="32"/>
          <w:u w:val="single"/>
          <w:lang w:val="en-US" w:eastAsia="zh-CN"/>
        </w:rPr>
        <w:t>检查清单</w:t>
      </w:r>
    </w:p>
    <w:p>
      <w:pPr>
        <w:numPr>
          <w:ilvl w:val="0"/>
          <w:numId w:val="0"/>
        </w:numPr>
        <w:ind w:left="420"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 List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阶段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检测点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检测步骤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rawlog/parquet日志迁移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6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日志是否有丢失；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日志的组织目录结构是否与原来的目录结构一致；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7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对比两端文件大小是否一致；</w:t>
            </w:r>
          </w:p>
          <w:p>
            <w:pPr>
              <w:numPr>
                <w:ilvl w:val="0"/>
                <w:numId w:val="7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对比两端文件的路径是否一致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txt/csv/json等文件迁移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1、日志是否有丢失；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2、日志的组织目录结构是否与原来的目录结构一致；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1、对比两端文件大小是否一致；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2、对比两端文件的路径是否一致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ES数据迁移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1、日志是否有丢失；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2、日志的组织目录结构是否与原来的目录结构一致；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1、对比两端文件大小是否一致；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2、对比两端文件的路径是否一致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MySQL与Redis数据迁移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8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数据是否丢失；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数据库用户名以及密码是否一直；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数据库中的表名是否一致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Jar包与shell脚本迁移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9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是否完成迁移；</w:t>
            </w:r>
          </w:p>
          <w:p>
            <w:pPr>
              <w:numPr>
                <w:ilvl w:val="0"/>
                <w:numId w:val="9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目录结构是否一致；</w:t>
            </w:r>
          </w:p>
          <w:p>
            <w:pPr>
              <w:numPr>
                <w:ilvl w:val="0"/>
                <w:numId w:val="9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权限是否一致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crontab配置信息迁移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1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crontab配置与shell脚本的部署是否一致；</w:t>
            </w:r>
          </w:p>
          <w:p>
            <w:pPr>
              <w:numPr>
                <w:ilvl w:val="0"/>
                <w:numId w:val="1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crontab的配置是否完整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杭州机房的结果数据同步至北京机房db1与db2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是否数据一致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1、检测北京机房第二套数据库的库、表层级是否与杭州机房一致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2、观察杭州机房数据产生后，北京机房的db2是否同时产生数据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3、监测主从同步的情况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切断杭州机房数据同步至db1，启动服务，定时写入数据至db1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1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新服务是否能够正常写入数据；</w:t>
            </w:r>
          </w:p>
          <w:p>
            <w:pPr>
              <w:numPr>
                <w:ilvl w:val="0"/>
                <w:numId w:val="1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站点树是否同步；</w:t>
            </w:r>
          </w:p>
          <w:p>
            <w:pPr>
              <w:numPr>
                <w:ilvl w:val="0"/>
                <w:numId w:val="1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是否正常运行；</w:t>
            </w:r>
          </w:p>
          <w:p>
            <w:pPr>
              <w:numPr>
                <w:ilvl w:val="0"/>
                <w:numId w:val="1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是否产生数据；</w:t>
            </w:r>
          </w:p>
          <w:p>
            <w:pPr>
              <w:numPr>
                <w:ilvl w:val="0"/>
                <w:numId w:val="1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crontab调度是否可以定时调度；</w:t>
            </w:r>
          </w:p>
          <w:p>
            <w:pPr>
              <w:numPr>
                <w:ilvl w:val="0"/>
                <w:numId w:val="1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邮件告警服务是否正常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1、运行redis同步的部分程序，检测redis中各db的生成情况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2、运行站点树同步程序，检测站点树更新时的同步情况。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3、运行统计程序，检测程序的执行情况和spark集群的运行情况。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4、运行统计程序，补充杭州机房与北京机房db1相差的几天数据，观察数据产生情况。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5、全量执行一天数据，检测crontab脚本情况。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运行程序中观察邮件告警服务情况。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新机房BI服务与杭州BI服务并行运行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对比分析两套BI环境产生的数据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检测两端db1与db2的数据是否完全一致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1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检测重要数据在两个数据库中的是否一致；</w:t>
            </w:r>
          </w:p>
          <w:p>
            <w:pPr>
              <w:numPr>
                <w:ilvl w:val="0"/>
                <w:numId w:val="1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检测北京服务的BI展示是否正常服务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前端展示配置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1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检测BI服务是否可以OK</w:t>
            </w:r>
          </w:p>
          <w:p>
            <w:pPr>
              <w:numPr>
                <w:ilvl w:val="0"/>
                <w:numId w:val="1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检测前端BI服务是否可以访问</w:t>
            </w:r>
          </w:p>
        </w:tc>
        <w:tc>
          <w:tcPr>
            <w:tcW w:w="2841" w:type="dxa"/>
          </w:tcPr>
          <w:p>
            <w:pPr>
              <w:pStyle w:val="5"/>
              <w:ind w:firstLine="0" w:firstLineChars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1、配置BI的后端和前端可视化展示，连接北京机房db1作为数据源。</w:t>
            </w:r>
          </w:p>
          <w:p>
            <w:pPr>
              <w:pStyle w:val="5"/>
              <w:ind w:firstLine="0" w:firstLineChars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2、进入BI展示页面，检测各报表项的执行情况。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3、观察几天，检测各报表项的新数据产生情况。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服务正式切换至新机房的BI环境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检测前端展示是否可以正常展示数据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1、对外服务域名切换至北京机房的服务，连接数据源为北京机房的db1;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2、切断杭州机房与北京机房db2的同步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674F7"/>
    <w:multiLevelType w:val="singleLevel"/>
    <w:tmpl w:val="583674F7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836751F"/>
    <w:multiLevelType w:val="singleLevel"/>
    <w:tmpl w:val="5836751F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8367599"/>
    <w:multiLevelType w:val="singleLevel"/>
    <w:tmpl w:val="58367599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8369561"/>
    <w:multiLevelType w:val="singleLevel"/>
    <w:tmpl w:val="58369561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836975A"/>
    <w:multiLevelType w:val="singleLevel"/>
    <w:tmpl w:val="5836975A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83699D8"/>
    <w:multiLevelType w:val="singleLevel"/>
    <w:tmpl w:val="583699D8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8369A3F"/>
    <w:multiLevelType w:val="singleLevel"/>
    <w:tmpl w:val="58369A3F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8369DA5"/>
    <w:multiLevelType w:val="singleLevel"/>
    <w:tmpl w:val="58369DA5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58369E37"/>
    <w:multiLevelType w:val="singleLevel"/>
    <w:tmpl w:val="58369E37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58369E89"/>
    <w:multiLevelType w:val="singleLevel"/>
    <w:tmpl w:val="58369E89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5836A31B"/>
    <w:multiLevelType w:val="singleLevel"/>
    <w:tmpl w:val="5836A31B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5836A6D6"/>
    <w:multiLevelType w:val="singleLevel"/>
    <w:tmpl w:val="5836A6D6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5836A793"/>
    <w:multiLevelType w:val="singleLevel"/>
    <w:tmpl w:val="5836A79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A16C2"/>
    <w:rsid w:val="041B47BC"/>
    <w:rsid w:val="054C3297"/>
    <w:rsid w:val="08311272"/>
    <w:rsid w:val="098808C5"/>
    <w:rsid w:val="0AED7690"/>
    <w:rsid w:val="0FCC7B9D"/>
    <w:rsid w:val="12C14865"/>
    <w:rsid w:val="13202ED3"/>
    <w:rsid w:val="13F768CD"/>
    <w:rsid w:val="14E84B34"/>
    <w:rsid w:val="19C2483F"/>
    <w:rsid w:val="1BBC13B9"/>
    <w:rsid w:val="1C1773D8"/>
    <w:rsid w:val="1CA522EA"/>
    <w:rsid w:val="230C60BB"/>
    <w:rsid w:val="231841FD"/>
    <w:rsid w:val="23EA6C23"/>
    <w:rsid w:val="247703EA"/>
    <w:rsid w:val="25500171"/>
    <w:rsid w:val="2FA00F2B"/>
    <w:rsid w:val="31011DAA"/>
    <w:rsid w:val="33207B8C"/>
    <w:rsid w:val="369A3EA5"/>
    <w:rsid w:val="36B51529"/>
    <w:rsid w:val="39CD38B4"/>
    <w:rsid w:val="3CBE6DA4"/>
    <w:rsid w:val="418C074E"/>
    <w:rsid w:val="42AA16EE"/>
    <w:rsid w:val="44BA3EA6"/>
    <w:rsid w:val="45385D56"/>
    <w:rsid w:val="4606176D"/>
    <w:rsid w:val="46BA55D5"/>
    <w:rsid w:val="4925688F"/>
    <w:rsid w:val="4D836672"/>
    <w:rsid w:val="518B43E2"/>
    <w:rsid w:val="579D20AD"/>
    <w:rsid w:val="67F40798"/>
    <w:rsid w:val="69CF6E5A"/>
    <w:rsid w:val="6B1B7795"/>
    <w:rsid w:val="75EF187A"/>
    <w:rsid w:val="7C9705B3"/>
    <w:rsid w:val="7F933BDC"/>
    <w:rsid w:val="7FF147D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  <w:style w:type="table" w:customStyle="1" w:styleId="6">
    <w:name w:val="List Table 3 Accent 1"/>
    <w:basedOn w:val="3"/>
    <w:qFormat/>
    <w:uiPriority w:val="48"/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5B9BD5" w:themeFill="accent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5B9BD5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>
        <w:tblLayout w:type="fixed"/>
      </w:tbl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>
        <w:tblLayout w:type="fixed"/>
      </w:tblPr>
      <w:tcPr>
        <w:tcBorders>
          <w:left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tblPr>
        <w:tblLayout w:type="fixed"/>
      </w:tblPr>
      <w:tcPr>
        <w:tcBorders>
          <w:top w:val="single" w:color="5B9BD5" w:themeColor="accent1" w:sz="4" w:space="0"/>
          <w:bottom w:val="single" w:color="5B9BD5" w:themeColor="accent1" w:sz="4" w:space="0"/>
          <w:insideH w:val="nil"/>
        </w:tcBorders>
      </w:tcPr>
    </w:tblStylePr>
    <w:tblStylePr w:type="neCell">
      <w:tblPr>
        <w:tblLayout w:type="fixed"/>
      </w:tblPr>
      <w:tcPr>
        <w:tcBorders>
          <w:left w:val="nil"/>
          <w:bottom w:val="nil"/>
        </w:tcBorders>
      </w:tcPr>
    </w:tblStylePr>
    <w:tblStylePr w:type="nwCell">
      <w:tblPr>
        <w:tblLayout w:type="fixed"/>
      </w:tblPr>
      <w:tcPr>
        <w:tcBorders>
          <w:bottom w:val="nil"/>
          <w:right w:val="nil"/>
        </w:tcBorders>
      </w:tcPr>
    </w:tblStylePr>
    <w:tblStylePr w:type="seCell">
      <w:tblPr>
        <w:tblLayout w:type="fixed"/>
      </w:tblPr>
      <w:tcPr>
        <w:tcBorders>
          <w:top w:val="double" w:color="5B9BD5" w:themeColor="accent1" w:sz="4" w:space="0"/>
          <w:left w:val="nil"/>
        </w:tcBorders>
      </w:tcPr>
    </w:tblStylePr>
    <w:tblStylePr w:type="swCell">
      <w:tblPr>
        <w:tblLayout w:type="fixed"/>
      </w:tblPr>
      <w:tcPr>
        <w:tcBorders>
          <w:top w:val="double" w:color="5B9BD5" w:themeColor="accent1" w:sz="4" w:space="0"/>
          <w:right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2016-11-27T03:10:42Z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