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jc w:val="center"/>
      </w:pPr>
      <w:r>
        <w:rPr>
          <w:rFonts w:ascii="Aptos Display" w:hAnsi="Aptos Display"/>
          <w:b/>
          <w:color w:val="17365D"/>
          <w:sz w:val="50"/>
        </w:rPr>
        <w:t>Comprehensive Mitigation Plan</w:t>
      </w:r>
    </w:p>
    <w:p>
      <w:pPr>
        <w:jc w:val="center"/>
      </w:pPr>
      <w:r>
        <w:rPr>
          <w:rFonts w:ascii="Aptos" w:hAnsi="Aptos"/>
          <w:b/>
          <w:color w:val="1F4E78"/>
          <w:sz w:val="32"/>
        </w:rPr>
        <w:t>Responsible AI Risk Mitigation for a Generative AI Language Model</w:t>
      </w:r>
    </w:p>
    <w:p>
      <w:pPr>
        <w:spacing w:before="400"/>
        <w:jc w:val="center"/>
      </w:pPr>
      <w:r>
        <w:rPr>
          <w:rFonts w:ascii="Aptos" w:hAnsi="Aptos"/>
          <w:sz w:val="23"/>
        </w:rPr>
        <w:t>Model: distilgpt2-gender-bias-ft</w:t>
      </w:r>
    </w:p>
    <w:p>
      <w:pPr>
        <w:jc w:val="center"/>
      </w:pPr>
      <w:r>
        <w:rPr>
          <w:rFonts w:ascii="Aptos" w:hAnsi="Aptos"/>
          <w:i/>
          <w:color w:val="666666"/>
          <w:sz w:val="21"/>
        </w:rPr>
        <w:t>Companion deliverable to the Ethical Audit Report</w:t>
      </w:r>
    </w:p>
    <w:p>
      <w:pPr>
        <w:spacing w:before="720"/>
        <w:jc w:val="center"/>
      </w:pPr>
      <w:r>
        <w:rPr>
          <w:b/>
          <w:color w:val="17365D"/>
        </w:rPr>
        <w:t>Status: Final</w:t>
      </w:r>
    </w:p>
    <w:p>
      <w:pPr>
        <w:pStyle w:val="Callout"/>
        <w:spacing w:before="680"/>
        <w:jc w:val="center"/>
      </w:pPr>
      <w:r>
        <w:t>Deployment position: DO NOT APPROVE the evaluated model for production employment or personnel decision support. Mitigation requires data/model remediation, technical controls, governance, and re-audit before reconsideration.</w:t>
      </w:r>
    </w:p>
    <w:p>
      <w:r>
        <w:br w:type="page"/>
      </w:r>
    </w:p>
    <w:p>
      <w:pPr>
        <w:pStyle w:val="Heading1"/>
      </w:pPr>
      <w:r>
        <w:t>1. Overview and Objectives</w:t>
      </w:r>
    </w:p>
    <w:p>
      <w:pPr>
        <w:pStyle w:val="Heading2"/>
      </w:pPr>
      <w:r>
        <w:t>1.1 Purpose of This Mitigation Plan</w:t>
      </w:r>
    </w:p>
    <w:p>
      <w:r>
        <w:t>This mitigation plan translates the findings of the Ethical Audit Report into specific, actionable safeguards for the evaluated generative AI language model. The audit identified role-conditioned gender assignment, inconsistent adherence to explicit gender instructions, unsupported recommendations in underspecified hiring prompts, counterfactual response divergence, and recurring reliability/attribution artifacts. The purpose of this plan is to define the controls that would be required before a comparable system could be considered for deployment and to establish measurable validation criteria for determining whether those controls are effective.</w:t>
      </w:r>
    </w:p>
    <w:p>
      <w:r>
        <w:t>The evaluated model was intentionally fine-tuned to exhibit gender bias for educational analysis. Accordingly, this plan does not assume that the current model can be made production-ready through lightweight prompt changes alone. The preferred treatment path is data repair and controlled retraining or model replacement, followed by independent re-evaluation.</w:t>
      </w:r>
    </w:p>
    <w:p>
      <w:pPr>
        <w:pStyle w:val="Heading2"/>
      </w:pPr>
      <w:r>
        <w:t>1.2 Scope of Mitigation</w:t>
      </w:r>
    </w:p>
    <w:p>
      <w:r>
        <w:t>This plan covers safeguards for the risks identified in the Ethical Audit Report, including:</w:t>
      </w:r>
    </w:p>
    <w:p>
      <w:pPr>
        <w:pStyle w:val="ListBullet"/>
        <w:spacing w:after="60"/>
      </w:pPr>
      <w:r>
        <w:t>bias and fairness controls for employment-related generation;</w:t>
      </w:r>
    </w:p>
    <w:p>
      <w:pPr>
        <w:pStyle w:val="ListBullet"/>
        <w:spacing w:after="60"/>
      </w:pPr>
      <w:r>
        <w:t>prompt and output controls to reduce unsupported or contradictory content;</w:t>
      </w:r>
    </w:p>
    <w:p>
      <w:pPr>
        <w:pStyle w:val="ListBullet"/>
        <w:spacing w:after="60"/>
      </w:pPr>
      <w:r>
        <w:t>explainability, regression testing, and ongoing monitoring;</w:t>
      </w:r>
    </w:p>
    <w:p>
      <w:pPr>
        <w:pStyle w:val="ListBullet"/>
        <w:spacing w:after="60"/>
      </w:pPr>
      <w:r>
        <w:t>human oversight and governance controls that prevent autonomous personnel decisions;</w:t>
      </w:r>
    </w:p>
    <w:p>
      <w:pPr>
        <w:pStyle w:val="ListBullet"/>
        <w:spacing w:after="60"/>
      </w:pPr>
      <w:r>
        <w:t>privacy protections for any future use involving applicant or employee data;</w:t>
      </w:r>
    </w:p>
    <w:p>
      <w:pPr>
        <w:pStyle w:val="ListBullet"/>
        <w:spacing w:after="60"/>
      </w:pPr>
      <w:r>
        <w:t>security and content-integrity controls for untrusted model output; and</w:t>
      </w:r>
    </w:p>
    <w:p>
      <w:pPr>
        <w:pStyle w:val="ListBullet"/>
        <w:spacing w:after="60"/>
      </w:pPr>
      <w:r>
        <w:t>resource-use controls appropriate to future retraining or scaled inference.</w:t>
      </w:r>
    </w:p>
    <w:p>
      <w:r>
        <w:t>This plan does not constitute legal advice, a formal privacy impact assessment, a penetration test, or a complete production security architecture. Those assessments would be required separately before deployment in a real operational environment.</w:t>
      </w:r>
    </w:p>
    <w:p>
      <w:pPr>
        <w:pStyle w:val="Heading1"/>
      </w:pPr>
      <w:r>
        <w:t>2. Summary of Identified Risks</w:t>
      </w:r>
    </w:p>
    <w:p>
      <w:r>
        <w:t>The following risk levels are carried forward directly from the Ethical Audit Report.</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blHeader w:val="true"/>
        </w:trPr>
        <w:tc>
          <w:tcPr>
            <w:tcW w:type="dxa" w:w="1584"/>
            <w:vAlign w:val="center"/>
            <w:shd w:fill="17365D"/>
          </w:tcPr>
          <w:p>
            <w:pPr>
              <w:spacing w:after="0" w:before="0"/>
            </w:pPr>
            <w:r>
              <w:rPr>
                <w:rFonts w:ascii="Aptos" w:hAnsi="Aptos"/>
                <w:b/>
                <w:color w:val="FFFFFF"/>
                <w:sz w:val="17"/>
              </w:rPr>
            </w:r>
            <w:r>
              <w:rPr>
                <w:rFonts w:ascii="Aptos" w:hAnsi="Aptos"/>
                <w:b/>
                <w:color w:val="FFFFFF"/>
                <w:sz w:val="17"/>
              </w:rPr>
              <w:t>Risk Category</w:t>
            </w:r>
          </w:p>
        </w:tc>
        <w:tc>
          <w:tcPr>
            <w:tcW w:type="dxa" w:w="1080"/>
            <w:vAlign w:val="center"/>
            <w:shd w:fill="17365D"/>
          </w:tcPr>
          <w:p>
            <w:pPr>
              <w:spacing w:after="0" w:before="0"/>
            </w:pPr>
            <w:r>
              <w:rPr>
                <w:rFonts w:ascii="Aptos" w:hAnsi="Aptos"/>
                <w:b/>
                <w:color w:val="FFFFFF"/>
                <w:sz w:val="17"/>
              </w:rPr>
            </w:r>
            <w:r>
              <w:rPr>
                <w:rFonts w:ascii="Aptos" w:hAnsi="Aptos"/>
                <w:b/>
                <w:color w:val="FFFFFF"/>
                <w:sz w:val="17"/>
              </w:rPr>
              <w:t>Risk ID</w:t>
            </w:r>
          </w:p>
        </w:tc>
        <w:tc>
          <w:tcPr>
            <w:tcW w:type="dxa" w:w="7560"/>
            <w:vAlign w:val="center"/>
            <w:shd w:fill="17365D"/>
          </w:tcPr>
          <w:p>
            <w:pPr>
              <w:spacing w:after="0" w:before="0"/>
            </w:pPr>
            <w:r>
              <w:rPr>
                <w:rFonts w:ascii="Aptos" w:hAnsi="Aptos"/>
                <w:b/>
                <w:color w:val="FFFFFF"/>
                <w:sz w:val="17"/>
              </w:rPr>
            </w:r>
            <w:r>
              <w:rPr>
                <w:rFonts w:ascii="Aptos" w:hAnsi="Aptos"/>
                <w:b/>
                <w:color w:val="FFFFFF"/>
                <w:sz w:val="17"/>
              </w:rPr>
              <w:t>Description</w:t>
            </w:r>
          </w:p>
        </w:tc>
        <w:tc>
          <w:tcPr>
            <w:tcW w:type="dxa" w:w="1224"/>
            <w:vAlign w:val="center"/>
            <w:shd w:fill="17365D"/>
          </w:tcPr>
          <w:p>
            <w:pPr>
              <w:spacing w:after="0" w:before="0"/>
            </w:pPr>
            <w:r>
              <w:rPr>
                <w:rFonts w:ascii="Aptos" w:hAnsi="Aptos"/>
                <w:b/>
                <w:color w:val="FFFFFF"/>
                <w:sz w:val="17"/>
              </w:rPr>
            </w:r>
            <w:r>
              <w:rPr>
                <w:rFonts w:ascii="Aptos" w:hAnsi="Aptos"/>
                <w:b/>
                <w:color w:val="FFFFFF"/>
                <w:sz w:val="17"/>
              </w:rPr>
              <w:t>Severity</w:t>
            </w:r>
          </w:p>
        </w:tc>
      </w:tr>
      <w:tr>
        <w:trPr>
          <w:cantSplit/>
        </w:trPr>
        <w:tc>
          <w:tcPr>
            <w:tcW w:type="dxa" w:w="1584"/>
            <w:vAlign w:val="center"/>
          </w:tcPr>
          <w:p>
            <w:pPr>
              <w:spacing w:after="0" w:before="0"/>
            </w:pPr>
            <w:r>
              <w:rPr>
                <w:rFonts w:ascii="Aptos" w:hAnsi="Aptos"/>
                <w:sz w:val="17"/>
              </w:rPr>
            </w:r>
            <w:r>
              <w:rPr>
                <w:rFonts w:ascii="Aptos" w:hAnsi="Aptos"/>
                <w:b w:val="0"/>
                <w:sz w:val="17"/>
              </w:rPr>
              <w:t>Ethical</w:t>
            </w:r>
          </w:p>
        </w:tc>
        <w:tc>
          <w:tcPr>
            <w:tcW w:type="dxa" w:w="1080"/>
            <w:vAlign w:val="center"/>
          </w:tcPr>
          <w:p>
            <w:pPr>
              <w:spacing w:after="0" w:before="0"/>
            </w:pPr>
            <w:r>
              <w:rPr>
                <w:rFonts w:ascii="Aptos" w:hAnsi="Aptos"/>
                <w:sz w:val="17"/>
              </w:rPr>
            </w:r>
            <w:r>
              <w:rPr>
                <w:rFonts w:ascii="Aptos" w:hAnsi="Aptos"/>
                <w:b w:val="0"/>
                <w:sz w:val="17"/>
              </w:rPr>
              <w:t>ETH-01</w:t>
            </w:r>
          </w:p>
        </w:tc>
        <w:tc>
          <w:tcPr>
            <w:tcW w:type="dxa" w:w="7560"/>
            <w:vAlign w:val="center"/>
          </w:tcPr>
          <w:p>
            <w:pPr>
              <w:spacing w:after="0" w:before="0"/>
            </w:pPr>
            <w:r>
              <w:rPr>
                <w:rFonts w:ascii="Aptos" w:hAnsi="Aptos"/>
                <w:sz w:val="17"/>
              </w:rPr>
            </w:r>
            <w:r>
              <w:rPr>
                <w:rFonts w:ascii="Aptos" w:hAnsi="Aptos"/>
                <w:b w:val="0"/>
                <w:sz w:val="17"/>
              </w:rPr>
              <w:t>Gender stereotyping, inconsistent gender representation, and differential professional framing in employment-related outputs.</w:t>
            </w:r>
          </w:p>
        </w:tc>
        <w:tc>
          <w:tcPr>
            <w:tcW w:type="dxa" w:w="1224"/>
            <w:vAlign w:val="center"/>
          </w:tcPr>
          <w:p>
            <w:pPr>
              <w:spacing w:after="0" w:before="0"/>
            </w:pPr>
            <w:r>
              <w:rPr>
                <w:rFonts w:ascii="Aptos" w:hAnsi="Aptos"/>
                <w:sz w:val="17"/>
              </w:rPr>
            </w:r>
            <w:r>
              <w:rPr>
                <w:rFonts w:ascii="Aptos" w:hAnsi="Aptos"/>
                <w:b/>
                <w:sz w:val="17"/>
              </w:rPr>
              <w:t>High</w:t>
            </w:r>
          </w:p>
        </w:tc>
      </w:tr>
      <w:tr>
        <w:trPr>
          <w:cantSplit/>
        </w:trPr>
        <w:tc>
          <w:tcPr>
            <w:tcW w:type="dxa" w:w="1584"/>
            <w:vAlign w:val="center"/>
            <w:shd w:fill="EEF4F8"/>
          </w:tcPr>
          <w:p>
            <w:pPr>
              <w:spacing w:after="0" w:before="0"/>
            </w:pPr>
            <w:r>
              <w:rPr>
                <w:rFonts w:ascii="Aptos" w:hAnsi="Aptos"/>
                <w:sz w:val="17"/>
              </w:rPr>
            </w:r>
            <w:r>
              <w:rPr>
                <w:rFonts w:ascii="Aptos" w:hAnsi="Aptos"/>
                <w:b w:val="0"/>
                <w:sz w:val="17"/>
              </w:rPr>
              <w:t>Legal</w:t>
            </w:r>
          </w:p>
        </w:tc>
        <w:tc>
          <w:tcPr>
            <w:tcW w:type="dxa" w:w="1080"/>
            <w:vAlign w:val="center"/>
            <w:shd w:fill="EEF4F8"/>
          </w:tcPr>
          <w:p>
            <w:pPr>
              <w:spacing w:after="0" w:before="0"/>
            </w:pPr>
            <w:r>
              <w:rPr>
                <w:rFonts w:ascii="Aptos" w:hAnsi="Aptos"/>
                <w:sz w:val="17"/>
              </w:rPr>
            </w:r>
            <w:r>
              <w:rPr>
                <w:rFonts w:ascii="Aptos" w:hAnsi="Aptos"/>
                <w:b w:val="0"/>
                <w:sz w:val="17"/>
              </w:rPr>
              <w:t>LEG-01</w:t>
            </w:r>
          </w:p>
        </w:tc>
        <w:tc>
          <w:tcPr>
            <w:tcW w:type="dxa" w:w="7560"/>
            <w:vAlign w:val="center"/>
            <w:shd w:fill="EEF4F8"/>
          </w:tcPr>
          <w:p>
            <w:pPr>
              <w:spacing w:after="0" w:before="0"/>
            </w:pPr>
            <w:r>
              <w:rPr>
                <w:rFonts w:ascii="Aptos" w:hAnsi="Aptos"/>
                <w:sz w:val="17"/>
              </w:rPr>
            </w:r>
            <w:r>
              <w:rPr>
                <w:rFonts w:ascii="Aptos" w:hAnsi="Aptos"/>
                <w:b w:val="0"/>
                <w:sz w:val="17"/>
              </w:rPr>
              <w:t>Potential discrimination/compliance exposure if unsupported or gender-conditioned outputs influence hiring or employment decisions.</w:t>
            </w:r>
          </w:p>
        </w:tc>
        <w:tc>
          <w:tcPr>
            <w:tcW w:type="dxa" w:w="1224"/>
            <w:vAlign w:val="center"/>
            <w:shd w:fill="EEF4F8"/>
          </w:tcPr>
          <w:p>
            <w:pPr>
              <w:spacing w:after="0" w:before="0"/>
            </w:pPr>
            <w:r>
              <w:rPr>
                <w:rFonts w:ascii="Aptos" w:hAnsi="Aptos"/>
                <w:sz w:val="17"/>
              </w:rPr>
            </w:r>
            <w:r>
              <w:rPr>
                <w:rFonts w:ascii="Aptos" w:hAnsi="Aptos"/>
                <w:b/>
                <w:sz w:val="17"/>
              </w:rPr>
              <w:t>High</w:t>
            </w:r>
          </w:p>
        </w:tc>
      </w:tr>
      <w:tr>
        <w:trPr>
          <w:cantSplit/>
        </w:trPr>
        <w:tc>
          <w:tcPr>
            <w:tcW w:type="dxa" w:w="1584"/>
            <w:vAlign w:val="center"/>
          </w:tcPr>
          <w:p>
            <w:pPr>
              <w:spacing w:after="0" w:before="0"/>
            </w:pPr>
            <w:r>
              <w:rPr>
                <w:rFonts w:ascii="Aptos" w:hAnsi="Aptos"/>
                <w:sz w:val="17"/>
              </w:rPr>
            </w:r>
            <w:r>
              <w:rPr>
                <w:rFonts w:ascii="Aptos" w:hAnsi="Aptos"/>
                <w:b w:val="0"/>
                <w:sz w:val="17"/>
              </w:rPr>
              <w:t>Privacy</w:t>
            </w:r>
          </w:p>
        </w:tc>
        <w:tc>
          <w:tcPr>
            <w:tcW w:type="dxa" w:w="1080"/>
            <w:vAlign w:val="center"/>
          </w:tcPr>
          <w:p>
            <w:pPr>
              <w:spacing w:after="0" w:before="0"/>
            </w:pPr>
            <w:r>
              <w:rPr>
                <w:rFonts w:ascii="Aptos" w:hAnsi="Aptos"/>
                <w:sz w:val="17"/>
              </w:rPr>
            </w:r>
            <w:r>
              <w:rPr>
                <w:rFonts w:ascii="Aptos" w:hAnsi="Aptos"/>
                <w:b w:val="0"/>
                <w:sz w:val="17"/>
              </w:rPr>
              <w:t>PRI-01</w:t>
            </w:r>
          </w:p>
        </w:tc>
        <w:tc>
          <w:tcPr>
            <w:tcW w:type="dxa" w:w="7560"/>
            <w:vAlign w:val="center"/>
          </w:tcPr>
          <w:p>
            <w:pPr>
              <w:spacing w:after="0" w:before="0"/>
            </w:pPr>
            <w:r>
              <w:rPr>
                <w:rFonts w:ascii="Aptos" w:hAnsi="Aptos"/>
                <w:sz w:val="17"/>
              </w:rPr>
            </w:r>
            <w:r>
              <w:rPr>
                <w:rFonts w:ascii="Aptos" w:hAnsi="Aptos"/>
                <w:b w:val="0"/>
                <w:sz w:val="17"/>
              </w:rPr>
              <w:t>Limited risk in the synthetic audit dataset, but future use with real applicant/employee data would introduce privacy obligations.</w:t>
            </w:r>
          </w:p>
        </w:tc>
        <w:tc>
          <w:tcPr>
            <w:tcW w:type="dxa" w:w="1224"/>
            <w:vAlign w:val="center"/>
          </w:tcPr>
          <w:p>
            <w:pPr>
              <w:spacing w:after="0" w:before="0"/>
            </w:pPr>
            <w:r>
              <w:rPr>
                <w:rFonts w:ascii="Aptos" w:hAnsi="Aptos"/>
                <w:sz w:val="17"/>
              </w:rPr>
            </w:r>
            <w:r>
              <w:rPr>
                <w:rFonts w:ascii="Aptos" w:hAnsi="Aptos"/>
                <w:b/>
                <w:sz w:val="17"/>
              </w:rPr>
              <w:t>Low</w:t>
            </w:r>
          </w:p>
        </w:tc>
      </w:tr>
      <w:tr>
        <w:trPr>
          <w:cantSplit/>
        </w:trPr>
        <w:tc>
          <w:tcPr>
            <w:tcW w:type="dxa" w:w="1584"/>
            <w:vAlign w:val="center"/>
            <w:shd w:fill="EEF4F8"/>
          </w:tcPr>
          <w:p>
            <w:pPr>
              <w:spacing w:after="0" w:before="0"/>
            </w:pPr>
            <w:r>
              <w:rPr>
                <w:rFonts w:ascii="Aptos" w:hAnsi="Aptos"/>
                <w:sz w:val="17"/>
              </w:rPr>
            </w:r>
            <w:r>
              <w:rPr>
                <w:rFonts w:ascii="Aptos" w:hAnsi="Aptos"/>
                <w:b w:val="0"/>
                <w:sz w:val="17"/>
              </w:rPr>
              <w:t>Security</w:t>
            </w:r>
          </w:p>
        </w:tc>
        <w:tc>
          <w:tcPr>
            <w:tcW w:type="dxa" w:w="1080"/>
            <w:vAlign w:val="center"/>
            <w:shd w:fill="EEF4F8"/>
          </w:tcPr>
          <w:p>
            <w:pPr>
              <w:spacing w:after="0" w:before="0"/>
            </w:pPr>
            <w:r>
              <w:rPr>
                <w:rFonts w:ascii="Aptos" w:hAnsi="Aptos"/>
                <w:sz w:val="17"/>
              </w:rPr>
            </w:r>
            <w:r>
              <w:rPr>
                <w:rFonts w:ascii="Aptos" w:hAnsi="Aptos"/>
                <w:b w:val="0"/>
                <w:sz w:val="17"/>
              </w:rPr>
              <w:t>SEC-01</w:t>
            </w:r>
          </w:p>
        </w:tc>
        <w:tc>
          <w:tcPr>
            <w:tcW w:type="dxa" w:w="7560"/>
            <w:vAlign w:val="center"/>
            <w:shd w:fill="EEF4F8"/>
          </w:tcPr>
          <w:p>
            <w:pPr>
              <w:spacing w:after="0" w:before="0"/>
            </w:pPr>
            <w:r>
              <w:rPr>
                <w:rFonts w:ascii="Aptos" w:hAnsi="Aptos"/>
                <w:sz w:val="17"/>
              </w:rPr>
            </w:r>
            <w:r>
              <w:rPr>
                <w:rFonts w:ascii="Aptos" w:hAnsi="Aptos"/>
                <w:b w:val="0"/>
                <w:sz w:val="17"/>
              </w:rPr>
              <w:t>Untrusted output, invented-looking references/attributions, malformed formatting, and downstream content-integrity risks.</w:t>
            </w:r>
          </w:p>
        </w:tc>
        <w:tc>
          <w:tcPr>
            <w:tcW w:type="dxa" w:w="1224"/>
            <w:vAlign w:val="center"/>
            <w:shd w:fill="EEF4F8"/>
          </w:tcPr>
          <w:p>
            <w:pPr>
              <w:spacing w:after="0" w:before="0"/>
            </w:pPr>
            <w:r>
              <w:rPr>
                <w:rFonts w:ascii="Aptos" w:hAnsi="Aptos"/>
                <w:sz w:val="17"/>
              </w:rPr>
            </w:r>
            <w:r>
              <w:rPr>
                <w:rFonts w:ascii="Aptos" w:hAnsi="Aptos"/>
                <w:b/>
                <w:sz w:val="17"/>
              </w:rPr>
              <w:t>Medium</w:t>
            </w:r>
          </w:p>
        </w:tc>
      </w:tr>
      <w:tr>
        <w:trPr>
          <w:cantSplit/>
        </w:trPr>
        <w:tc>
          <w:tcPr>
            <w:tcW w:type="dxa" w:w="1584"/>
            <w:vAlign w:val="center"/>
          </w:tcPr>
          <w:p>
            <w:pPr>
              <w:spacing w:after="0" w:before="0"/>
            </w:pPr>
            <w:r>
              <w:rPr>
                <w:rFonts w:ascii="Aptos" w:hAnsi="Aptos"/>
                <w:sz w:val="17"/>
              </w:rPr>
            </w:r>
            <w:r>
              <w:rPr>
                <w:rFonts w:ascii="Aptos" w:hAnsi="Aptos"/>
                <w:b w:val="0"/>
                <w:sz w:val="17"/>
              </w:rPr>
              <w:t>Environmental</w:t>
            </w:r>
          </w:p>
        </w:tc>
        <w:tc>
          <w:tcPr>
            <w:tcW w:type="dxa" w:w="1080"/>
            <w:vAlign w:val="center"/>
          </w:tcPr>
          <w:p>
            <w:pPr>
              <w:spacing w:after="0" w:before="0"/>
            </w:pPr>
            <w:r>
              <w:rPr>
                <w:rFonts w:ascii="Aptos" w:hAnsi="Aptos"/>
                <w:sz w:val="17"/>
              </w:rPr>
            </w:r>
            <w:r>
              <w:rPr>
                <w:rFonts w:ascii="Aptos" w:hAnsi="Aptos"/>
                <w:b w:val="0"/>
                <w:sz w:val="17"/>
              </w:rPr>
              <w:t>ENV-01</w:t>
            </w:r>
          </w:p>
        </w:tc>
        <w:tc>
          <w:tcPr>
            <w:tcW w:type="dxa" w:w="7560"/>
            <w:vAlign w:val="center"/>
          </w:tcPr>
          <w:p>
            <w:pPr>
              <w:spacing w:after="0" w:before="0"/>
            </w:pPr>
            <w:r>
              <w:rPr>
                <w:rFonts w:ascii="Aptos" w:hAnsi="Aptos"/>
                <w:sz w:val="17"/>
              </w:rPr>
            </w:r>
            <w:r>
              <w:rPr>
                <w:rFonts w:ascii="Aptos" w:hAnsi="Aptos"/>
                <w:b w:val="0"/>
                <w:sz w:val="17"/>
              </w:rPr>
              <w:t>Comparatively low bounded inference impact, with uncertainty for scaled inference or retraining because energy/carbon use was not measured.</w:t>
            </w:r>
          </w:p>
        </w:tc>
        <w:tc>
          <w:tcPr>
            <w:tcW w:type="dxa" w:w="1224"/>
            <w:vAlign w:val="center"/>
          </w:tcPr>
          <w:p>
            <w:pPr>
              <w:spacing w:after="0" w:before="0"/>
            </w:pPr>
            <w:r>
              <w:rPr>
                <w:rFonts w:ascii="Aptos" w:hAnsi="Aptos"/>
                <w:sz w:val="17"/>
              </w:rPr>
            </w:r>
            <w:r>
              <w:rPr>
                <w:rFonts w:ascii="Aptos" w:hAnsi="Aptos"/>
                <w:b/>
                <w:sz w:val="17"/>
              </w:rPr>
              <w:t>Low</w:t>
            </w:r>
          </w:p>
        </w:tc>
      </w:tr>
    </w:tbl>
    <w:p>
      <w:pPr>
        <w:pStyle w:val="Callout"/>
      </w:pPr>
      <w:r>
        <w:t>Priority: ETH-01 and LEG-01 are release-blocking risks. No production use affecting employment or personnel decisions should proceed while either remains High.</w:t>
      </w:r>
    </w:p>
    <w:p>
      <w:pPr>
        <w:pStyle w:val="Heading1"/>
      </w:pPr>
      <w:r>
        <w:t>3. Mitigation Strategies</w:t>
      </w:r>
    </w:p>
    <w:p>
      <w:pPr>
        <w:pStyle w:val="Heading2"/>
      </w:pPr>
      <w:r>
        <w:t>3.1 Bias and Fairness Mitigation</w:t>
      </w:r>
    </w:p>
    <w:p>
      <w:r>
        <w:t>Bias mitigation must begin at the data/model layer rather than relying solely on prompt wording. The current model was intentionally fine-tuned on biased synthetic examples, so prompt-only controls cannot be treated as a sufficient remedy.</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blHeader w:val="true"/>
        </w:trPr>
        <w:tc>
          <w:tcPr>
            <w:tcW w:type="dxa" w:w="1152"/>
            <w:vAlign w:val="center"/>
            <w:shd w:fill="17365D"/>
          </w:tcPr>
          <w:p>
            <w:pPr>
              <w:spacing w:after="0" w:before="0"/>
            </w:pPr>
            <w:r>
              <w:rPr>
                <w:rFonts w:ascii="Aptos" w:hAnsi="Aptos"/>
                <w:b/>
                <w:color w:val="FFFFFF"/>
                <w:sz w:val="16"/>
              </w:rPr>
            </w:r>
            <w:r>
              <w:rPr>
                <w:rFonts w:ascii="Aptos" w:hAnsi="Aptos"/>
                <w:b/>
                <w:color w:val="FFFFFF"/>
                <w:sz w:val="16"/>
              </w:rPr>
              <w:t>Control ID</w:t>
            </w:r>
          </w:p>
        </w:tc>
        <w:tc>
          <w:tcPr>
            <w:tcW w:type="dxa" w:w="2520"/>
            <w:vAlign w:val="center"/>
            <w:shd w:fill="17365D"/>
          </w:tcPr>
          <w:p>
            <w:pPr>
              <w:spacing w:after="0" w:before="0"/>
            </w:pPr>
            <w:r>
              <w:rPr>
                <w:rFonts w:ascii="Aptos" w:hAnsi="Aptos"/>
                <w:b/>
                <w:color w:val="FFFFFF"/>
                <w:sz w:val="16"/>
              </w:rPr>
            </w:r>
            <w:r>
              <w:rPr>
                <w:rFonts w:ascii="Aptos" w:hAnsi="Aptos"/>
                <w:b/>
                <w:color w:val="FFFFFF"/>
                <w:sz w:val="16"/>
              </w:rPr>
              <w:t>Safeguard</w:t>
            </w:r>
          </w:p>
        </w:tc>
        <w:tc>
          <w:tcPr>
            <w:tcW w:type="dxa" w:w="6552"/>
            <w:vAlign w:val="center"/>
            <w:shd w:fill="17365D"/>
          </w:tcPr>
          <w:p>
            <w:pPr>
              <w:spacing w:after="0" w:before="0"/>
            </w:pPr>
            <w:r>
              <w:rPr>
                <w:rFonts w:ascii="Aptos" w:hAnsi="Aptos"/>
                <w:b/>
                <w:color w:val="FFFFFF"/>
                <w:sz w:val="16"/>
              </w:rPr>
            </w:r>
            <w:r>
              <w:rPr>
                <w:rFonts w:ascii="Aptos" w:hAnsi="Aptos"/>
                <w:b/>
                <w:color w:val="FFFFFF"/>
                <w:sz w:val="16"/>
              </w:rPr>
              <w:t>Action</w:t>
            </w:r>
          </w:p>
        </w:tc>
        <w:tc>
          <w:tcPr>
            <w:tcW w:type="dxa" w:w="1584"/>
            <w:vAlign w:val="center"/>
            <w:shd w:fill="17365D"/>
          </w:tcPr>
          <w:p>
            <w:pPr>
              <w:spacing w:after="0" w:before="0"/>
            </w:pPr>
            <w:r>
              <w:rPr>
                <w:rFonts w:ascii="Aptos" w:hAnsi="Aptos"/>
                <w:b/>
                <w:color w:val="FFFFFF"/>
                <w:sz w:val="16"/>
              </w:rPr>
            </w:r>
            <w:r>
              <w:rPr>
                <w:rFonts w:ascii="Aptos" w:hAnsi="Aptos"/>
                <w:b/>
                <w:color w:val="FFFFFF"/>
                <w:sz w:val="16"/>
              </w:rPr>
              <w:t>Mapped Risk</w:t>
            </w:r>
          </w:p>
        </w:tc>
      </w:tr>
      <w:tr>
        <w:trPr>
          <w:cantSplit/>
        </w:trPr>
        <w:tc>
          <w:tcPr>
            <w:tcW w:type="dxa" w:w="1152"/>
            <w:vAlign w:val="center"/>
          </w:tcPr>
          <w:p>
            <w:pPr>
              <w:spacing w:after="0" w:before="0"/>
            </w:pPr>
            <w:r>
              <w:rPr>
                <w:rFonts w:ascii="Aptos" w:hAnsi="Aptos"/>
                <w:sz w:val="16"/>
              </w:rPr>
            </w:r>
            <w:r>
              <w:rPr>
                <w:rFonts w:ascii="Aptos" w:hAnsi="Aptos"/>
                <w:b w:val="0"/>
                <w:sz w:val="16"/>
              </w:rPr>
              <w:t>BF-01</w:t>
            </w:r>
          </w:p>
        </w:tc>
        <w:tc>
          <w:tcPr>
            <w:tcW w:type="dxa" w:w="2520"/>
            <w:vAlign w:val="center"/>
          </w:tcPr>
          <w:p>
            <w:pPr>
              <w:spacing w:after="0" w:before="0"/>
            </w:pPr>
            <w:r>
              <w:rPr>
                <w:rFonts w:ascii="Aptos" w:hAnsi="Aptos"/>
                <w:sz w:val="16"/>
              </w:rPr>
            </w:r>
            <w:r>
              <w:rPr>
                <w:rFonts w:ascii="Aptos" w:hAnsi="Aptos"/>
                <w:b w:val="0"/>
                <w:sz w:val="16"/>
              </w:rPr>
              <w:t>Repair and rebalance fine-tuning data</w:t>
            </w:r>
          </w:p>
        </w:tc>
        <w:tc>
          <w:tcPr>
            <w:tcW w:type="dxa" w:w="6552"/>
            <w:vAlign w:val="center"/>
          </w:tcPr>
          <w:p>
            <w:pPr>
              <w:spacing w:after="0" w:before="0"/>
            </w:pPr>
            <w:r>
              <w:rPr>
                <w:rFonts w:ascii="Aptos" w:hAnsi="Aptos"/>
                <w:sz w:val="16"/>
              </w:rPr>
            </w:r>
            <w:r>
              <w:rPr>
                <w:rFonts w:ascii="Aptos" w:hAnsi="Aptos"/>
                <w:b w:val="0"/>
                <w:sz w:val="16"/>
              </w:rPr>
              <w:t>Review the synthetic training corpus for gender-role imbalance; create balanced counterexamples across technical, executive, administrative, support, and hybrid roles. Remove examples that reward unsupported candidate selection.</w:t>
            </w:r>
          </w:p>
        </w:tc>
        <w:tc>
          <w:tcPr>
            <w:tcW w:type="dxa" w:w="1584"/>
            <w:vAlign w:val="center"/>
          </w:tcPr>
          <w:p>
            <w:pPr>
              <w:spacing w:after="0" w:before="0"/>
            </w:pPr>
            <w:r>
              <w:rPr>
                <w:rFonts w:ascii="Aptos" w:hAnsi="Aptos"/>
                <w:sz w:val="16"/>
              </w:rPr>
            </w:r>
            <w:r>
              <w:rPr>
                <w:rFonts w:ascii="Aptos" w:hAnsi="Aptos"/>
                <w:b w:val="0"/>
                <w:sz w:val="16"/>
              </w:rPr>
              <w:t>ETH-01, LEG-01</w:t>
            </w:r>
          </w:p>
        </w:tc>
      </w:tr>
      <w:tr>
        <w:trPr>
          <w:cantSplit/>
        </w:trPr>
        <w:tc>
          <w:tcPr>
            <w:tcW w:type="dxa" w:w="1152"/>
            <w:vAlign w:val="center"/>
            <w:shd w:fill="EEF4F8"/>
          </w:tcPr>
          <w:p>
            <w:pPr>
              <w:spacing w:after="0" w:before="0"/>
            </w:pPr>
            <w:r>
              <w:rPr>
                <w:rFonts w:ascii="Aptos" w:hAnsi="Aptos"/>
                <w:sz w:val="16"/>
              </w:rPr>
            </w:r>
            <w:r>
              <w:rPr>
                <w:rFonts w:ascii="Aptos" w:hAnsi="Aptos"/>
                <w:b w:val="0"/>
                <w:sz w:val="16"/>
              </w:rPr>
              <w:t>BF-02</w:t>
            </w:r>
          </w:p>
        </w:tc>
        <w:tc>
          <w:tcPr>
            <w:tcW w:type="dxa" w:w="2520"/>
            <w:vAlign w:val="center"/>
            <w:shd w:fill="EEF4F8"/>
          </w:tcPr>
          <w:p>
            <w:pPr>
              <w:spacing w:after="0" w:before="0"/>
            </w:pPr>
            <w:r>
              <w:rPr>
                <w:rFonts w:ascii="Aptos" w:hAnsi="Aptos"/>
                <w:sz w:val="16"/>
              </w:rPr>
            </w:r>
            <w:r>
              <w:rPr>
                <w:rFonts w:ascii="Aptos" w:hAnsi="Aptos"/>
                <w:b w:val="0"/>
                <w:sz w:val="16"/>
              </w:rPr>
              <w:t>Retrain or replace the biased model</w:t>
            </w:r>
          </w:p>
        </w:tc>
        <w:tc>
          <w:tcPr>
            <w:tcW w:type="dxa" w:w="6552"/>
            <w:vAlign w:val="center"/>
            <w:shd w:fill="EEF4F8"/>
          </w:tcPr>
          <w:p>
            <w:pPr>
              <w:spacing w:after="0" w:before="0"/>
            </w:pPr>
            <w:r>
              <w:rPr>
                <w:rFonts w:ascii="Aptos" w:hAnsi="Aptos"/>
                <w:sz w:val="16"/>
              </w:rPr>
            </w:r>
            <w:r>
              <w:rPr>
                <w:rFonts w:ascii="Aptos" w:hAnsi="Aptos"/>
                <w:b w:val="0"/>
                <w:sz w:val="16"/>
              </w:rPr>
              <w:t>Retrain on the repaired dataset or replace the fine-tuned checkpoint with a model that has not been intentionally optimized for discriminatory behavior. Preserve the original model only as an audit baseline.</w:t>
            </w:r>
          </w:p>
        </w:tc>
        <w:tc>
          <w:tcPr>
            <w:tcW w:type="dxa" w:w="1584"/>
            <w:vAlign w:val="center"/>
            <w:shd w:fill="EEF4F8"/>
          </w:tcPr>
          <w:p>
            <w:pPr>
              <w:spacing w:after="0" w:before="0"/>
            </w:pPr>
            <w:r>
              <w:rPr>
                <w:rFonts w:ascii="Aptos" w:hAnsi="Aptos"/>
                <w:sz w:val="16"/>
              </w:rPr>
            </w:r>
            <w:r>
              <w:rPr>
                <w:rFonts w:ascii="Aptos" w:hAnsi="Aptos"/>
                <w:b w:val="0"/>
                <w:sz w:val="16"/>
              </w:rPr>
              <w:t>ETH-01, LEG-01</w:t>
            </w:r>
          </w:p>
        </w:tc>
      </w:tr>
      <w:tr>
        <w:trPr>
          <w:cantSplit/>
        </w:trPr>
        <w:tc>
          <w:tcPr>
            <w:tcW w:type="dxa" w:w="1152"/>
            <w:vAlign w:val="center"/>
          </w:tcPr>
          <w:p>
            <w:pPr>
              <w:spacing w:after="0" w:before="0"/>
            </w:pPr>
            <w:r>
              <w:rPr>
                <w:rFonts w:ascii="Aptos" w:hAnsi="Aptos"/>
                <w:sz w:val="16"/>
              </w:rPr>
            </w:r>
            <w:r>
              <w:rPr>
                <w:rFonts w:ascii="Aptos" w:hAnsi="Aptos"/>
                <w:b w:val="0"/>
                <w:sz w:val="16"/>
              </w:rPr>
              <w:t>BF-03</w:t>
            </w:r>
          </w:p>
        </w:tc>
        <w:tc>
          <w:tcPr>
            <w:tcW w:type="dxa" w:w="2520"/>
            <w:vAlign w:val="center"/>
          </w:tcPr>
          <w:p>
            <w:pPr>
              <w:spacing w:after="0" w:before="0"/>
            </w:pPr>
            <w:r>
              <w:rPr>
                <w:rFonts w:ascii="Aptos" w:hAnsi="Aptos"/>
                <w:sz w:val="16"/>
              </w:rPr>
            </w:r>
            <w:r>
              <w:rPr>
                <w:rFonts w:ascii="Aptos" w:hAnsi="Aptos"/>
                <w:b w:val="0"/>
                <w:sz w:val="16"/>
              </w:rPr>
              <w:t>Expand counterfactual benchmark</w:t>
            </w:r>
          </w:p>
        </w:tc>
        <w:tc>
          <w:tcPr>
            <w:tcW w:type="dxa" w:w="6552"/>
            <w:vAlign w:val="center"/>
          </w:tcPr>
          <w:p>
            <w:pPr>
              <w:spacing w:after="0" w:before="0"/>
            </w:pPr>
            <w:r>
              <w:rPr>
                <w:rFonts w:ascii="Aptos" w:hAnsi="Aptos"/>
                <w:sz w:val="16"/>
              </w:rPr>
            </w:r>
            <w:r>
              <w:rPr>
                <w:rFonts w:ascii="Aptos" w:hAnsi="Aptos"/>
                <w:b w:val="0"/>
                <w:sz w:val="16"/>
              </w:rPr>
              <w:t>Create a larger benchmark covering neutral, woman, man, and gender-neutral/nonbinary language where appropriate; test multiple roles and multiple seeds.</w:t>
            </w:r>
          </w:p>
        </w:tc>
        <w:tc>
          <w:tcPr>
            <w:tcW w:type="dxa" w:w="1584"/>
            <w:vAlign w:val="center"/>
          </w:tcPr>
          <w:p>
            <w:pPr>
              <w:spacing w:after="0" w:before="0"/>
            </w:pPr>
            <w:r>
              <w:rPr>
                <w:rFonts w:ascii="Aptos" w:hAnsi="Aptos"/>
                <w:sz w:val="16"/>
              </w:rPr>
            </w:r>
            <w:r>
              <w:rPr>
                <w:rFonts w:ascii="Aptos" w:hAnsi="Aptos"/>
                <w:b w:val="0"/>
                <w:sz w:val="16"/>
              </w:rPr>
              <w:t>ETH-01</w:t>
            </w:r>
          </w:p>
        </w:tc>
      </w:tr>
      <w:tr>
        <w:trPr>
          <w:cantSplit/>
        </w:trPr>
        <w:tc>
          <w:tcPr>
            <w:tcW w:type="dxa" w:w="1152"/>
            <w:vAlign w:val="center"/>
            <w:shd w:fill="EEF4F8"/>
          </w:tcPr>
          <w:p>
            <w:pPr>
              <w:spacing w:after="0" w:before="0"/>
            </w:pPr>
            <w:r>
              <w:rPr>
                <w:rFonts w:ascii="Aptos" w:hAnsi="Aptos"/>
                <w:sz w:val="16"/>
              </w:rPr>
            </w:r>
            <w:r>
              <w:rPr>
                <w:rFonts w:ascii="Aptos" w:hAnsi="Aptos"/>
                <w:b w:val="0"/>
                <w:sz w:val="16"/>
              </w:rPr>
              <w:t>BF-04</w:t>
            </w:r>
          </w:p>
        </w:tc>
        <w:tc>
          <w:tcPr>
            <w:tcW w:type="dxa" w:w="2520"/>
            <w:vAlign w:val="center"/>
            <w:shd w:fill="EEF4F8"/>
          </w:tcPr>
          <w:p>
            <w:pPr>
              <w:spacing w:after="0" w:before="0"/>
            </w:pPr>
            <w:r>
              <w:rPr>
                <w:rFonts w:ascii="Aptos" w:hAnsi="Aptos"/>
                <w:sz w:val="16"/>
              </w:rPr>
            </w:r>
            <w:r>
              <w:rPr>
                <w:rFonts w:ascii="Aptos" w:hAnsi="Aptos"/>
                <w:b w:val="0"/>
                <w:sz w:val="16"/>
              </w:rPr>
              <w:t>Neutral-role gender suppression</w:t>
            </w:r>
          </w:p>
        </w:tc>
        <w:tc>
          <w:tcPr>
            <w:tcW w:type="dxa" w:w="6552"/>
            <w:vAlign w:val="center"/>
            <w:shd w:fill="EEF4F8"/>
          </w:tcPr>
          <w:p>
            <w:pPr>
              <w:spacing w:after="0" w:before="0"/>
            </w:pPr>
            <w:r>
              <w:rPr>
                <w:rFonts w:ascii="Aptos" w:hAnsi="Aptos"/>
                <w:sz w:val="16"/>
              </w:rPr>
            </w:r>
            <w:r>
              <w:rPr>
                <w:rFonts w:ascii="Aptos" w:hAnsi="Aptos"/>
                <w:b w:val="0"/>
                <w:sz w:val="16"/>
              </w:rPr>
              <w:t>For employment descriptions where gender is irrelevant, require the system to avoid introducing gendered identity terms unless explicitly and legitimately requested.</w:t>
            </w:r>
          </w:p>
        </w:tc>
        <w:tc>
          <w:tcPr>
            <w:tcW w:type="dxa" w:w="1584"/>
            <w:vAlign w:val="center"/>
            <w:shd w:fill="EEF4F8"/>
          </w:tcPr>
          <w:p>
            <w:pPr>
              <w:spacing w:after="0" w:before="0"/>
            </w:pPr>
            <w:r>
              <w:rPr>
                <w:rFonts w:ascii="Aptos" w:hAnsi="Aptos"/>
                <w:sz w:val="16"/>
              </w:rPr>
            </w:r>
            <w:r>
              <w:rPr>
                <w:rFonts w:ascii="Aptos" w:hAnsi="Aptos"/>
                <w:b w:val="0"/>
                <w:sz w:val="16"/>
              </w:rPr>
              <w:t>ETH-01, LEG-01</w:t>
            </w:r>
          </w:p>
        </w:tc>
      </w:tr>
      <w:tr>
        <w:trPr>
          <w:cantSplit/>
        </w:trPr>
        <w:tc>
          <w:tcPr>
            <w:tcW w:type="dxa" w:w="1152"/>
            <w:vAlign w:val="center"/>
          </w:tcPr>
          <w:p>
            <w:pPr>
              <w:spacing w:after="0" w:before="0"/>
            </w:pPr>
            <w:r>
              <w:rPr>
                <w:rFonts w:ascii="Aptos" w:hAnsi="Aptos"/>
                <w:sz w:val="16"/>
              </w:rPr>
            </w:r>
            <w:r>
              <w:rPr>
                <w:rFonts w:ascii="Aptos" w:hAnsi="Aptos"/>
                <w:b w:val="0"/>
                <w:sz w:val="16"/>
              </w:rPr>
              <w:t>BF-05</w:t>
            </w:r>
          </w:p>
        </w:tc>
        <w:tc>
          <w:tcPr>
            <w:tcW w:type="dxa" w:w="2520"/>
            <w:vAlign w:val="center"/>
          </w:tcPr>
          <w:p>
            <w:pPr>
              <w:spacing w:after="0" w:before="0"/>
            </w:pPr>
            <w:r>
              <w:rPr>
                <w:rFonts w:ascii="Aptos" w:hAnsi="Aptos"/>
                <w:sz w:val="16"/>
              </w:rPr>
            </w:r>
            <w:r>
              <w:rPr>
                <w:rFonts w:ascii="Aptos" w:hAnsi="Aptos"/>
                <w:b w:val="0"/>
                <w:sz w:val="16"/>
              </w:rPr>
              <w:t>Equal-qualification fairness gate</w:t>
            </w:r>
          </w:p>
        </w:tc>
        <w:tc>
          <w:tcPr>
            <w:tcW w:type="dxa" w:w="6552"/>
            <w:vAlign w:val="center"/>
          </w:tcPr>
          <w:p>
            <w:pPr>
              <w:spacing w:after="0" w:before="0"/>
            </w:pPr>
            <w:r>
              <w:rPr>
                <w:rFonts w:ascii="Aptos" w:hAnsi="Aptos"/>
                <w:sz w:val="16"/>
              </w:rPr>
            </w:r>
            <w:r>
              <w:rPr>
                <w:rFonts w:ascii="Aptos" w:hAnsi="Aptos"/>
                <w:b w:val="0"/>
                <w:sz w:val="16"/>
              </w:rPr>
              <w:t>For controlled equal-qualification comparisons, require zero unsupported candidate preference attributable to gender cues.</w:t>
            </w:r>
          </w:p>
        </w:tc>
        <w:tc>
          <w:tcPr>
            <w:tcW w:type="dxa" w:w="1584"/>
            <w:vAlign w:val="center"/>
          </w:tcPr>
          <w:p>
            <w:pPr>
              <w:spacing w:after="0" w:before="0"/>
            </w:pPr>
            <w:r>
              <w:rPr>
                <w:rFonts w:ascii="Aptos" w:hAnsi="Aptos"/>
                <w:sz w:val="16"/>
              </w:rPr>
            </w:r>
            <w:r>
              <w:rPr>
                <w:rFonts w:ascii="Aptos" w:hAnsi="Aptos"/>
                <w:b w:val="0"/>
                <w:sz w:val="16"/>
              </w:rPr>
              <w:t>ETH-01, LEG-01</w:t>
            </w:r>
          </w:p>
        </w:tc>
      </w:tr>
    </w:tbl>
    <w:p>
      <w:pPr>
        <w:pStyle w:val="Heading2"/>
      </w:pPr>
      <w:r>
        <w:t>3.2 Prompt and Output Controls</w:t>
      </w:r>
    </w:p>
    <w:p>
      <w:r>
        <w:t>Prompt and output controls should provide a second line of defense after data/model remediation. They should not be used to claim that an unremediated biased model is safe.</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blHeader w:val="true"/>
        </w:trPr>
        <w:tc>
          <w:tcPr>
            <w:tcW w:type="dxa" w:w="1152"/>
            <w:vAlign w:val="center"/>
            <w:shd w:fill="17365D"/>
          </w:tcPr>
          <w:p>
            <w:pPr>
              <w:spacing w:after="0" w:before="0"/>
            </w:pPr>
            <w:r>
              <w:rPr>
                <w:rFonts w:ascii="Aptos" w:hAnsi="Aptos"/>
                <w:b/>
                <w:color w:val="FFFFFF"/>
                <w:sz w:val="16"/>
              </w:rPr>
            </w:r>
            <w:r>
              <w:rPr>
                <w:rFonts w:ascii="Aptos" w:hAnsi="Aptos"/>
                <w:b/>
                <w:color w:val="FFFFFF"/>
                <w:sz w:val="16"/>
              </w:rPr>
              <w:t>Control ID</w:t>
            </w:r>
          </w:p>
        </w:tc>
        <w:tc>
          <w:tcPr>
            <w:tcW w:type="dxa" w:w="2376"/>
            <w:vAlign w:val="center"/>
            <w:shd w:fill="17365D"/>
          </w:tcPr>
          <w:p>
            <w:pPr>
              <w:spacing w:after="0" w:before="0"/>
            </w:pPr>
            <w:r>
              <w:rPr>
                <w:rFonts w:ascii="Aptos" w:hAnsi="Aptos"/>
                <w:b/>
                <w:color w:val="FFFFFF"/>
                <w:sz w:val="16"/>
              </w:rPr>
            </w:r>
            <w:r>
              <w:rPr>
                <w:rFonts w:ascii="Aptos" w:hAnsi="Aptos"/>
                <w:b/>
                <w:color w:val="FFFFFF"/>
                <w:sz w:val="16"/>
              </w:rPr>
              <w:t>Safeguard</w:t>
            </w:r>
          </w:p>
        </w:tc>
        <w:tc>
          <w:tcPr>
            <w:tcW w:type="dxa" w:w="6696"/>
            <w:vAlign w:val="center"/>
            <w:shd w:fill="17365D"/>
          </w:tcPr>
          <w:p>
            <w:pPr>
              <w:spacing w:after="0" w:before="0"/>
            </w:pPr>
            <w:r>
              <w:rPr>
                <w:rFonts w:ascii="Aptos" w:hAnsi="Aptos"/>
                <w:b/>
                <w:color w:val="FFFFFF"/>
                <w:sz w:val="16"/>
              </w:rPr>
            </w:r>
            <w:r>
              <w:rPr>
                <w:rFonts w:ascii="Aptos" w:hAnsi="Aptos"/>
                <w:b/>
                <w:color w:val="FFFFFF"/>
                <w:sz w:val="16"/>
              </w:rPr>
              <w:t>Action</w:t>
            </w:r>
          </w:p>
        </w:tc>
        <w:tc>
          <w:tcPr>
            <w:tcW w:type="dxa" w:w="1584"/>
            <w:vAlign w:val="center"/>
            <w:shd w:fill="17365D"/>
          </w:tcPr>
          <w:p>
            <w:pPr>
              <w:spacing w:after="0" w:before="0"/>
            </w:pPr>
            <w:r>
              <w:rPr>
                <w:rFonts w:ascii="Aptos" w:hAnsi="Aptos"/>
                <w:b/>
                <w:color w:val="FFFFFF"/>
                <w:sz w:val="16"/>
              </w:rPr>
            </w:r>
            <w:r>
              <w:rPr>
                <w:rFonts w:ascii="Aptos" w:hAnsi="Aptos"/>
                <w:b/>
                <w:color w:val="FFFFFF"/>
                <w:sz w:val="16"/>
              </w:rPr>
              <w:t>Mapped Risk</w:t>
            </w:r>
          </w:p>
        </w:tc>
      </w:tr>
      <w:tr>
        <w:trPr>
          <w:cantSplit/>
        </w:trPr>
        <w:tc>
          <w:tcPr>
            <w:tcW w:type="dxa" w:w="1152"/>
            <w:vAlign w:val="center"/>
          </w:tcPr>
          <w:p>
            <w:pPr>
              <w:spacing w:after="0" w:before="0"/>
            </w:pPr>
            <w:r>
              <w:rPr>
                <w:rFonts w:ascii="Aptos" w:hAnsi="Aptos"/>
                <w:sz w:val="16"/>
              </w:rPr>
            </w:r>
            <w:r>
              <w:rPr>
                <w:rFonts w:ascii="Aptos" w:hAnsi="Aptos"/>
                <w:b w:val="0"/>
                <w:sz w:val="16"/>
              </w:rPr>
              <w:t>PO-01</w:t>
            </w:r>
          </w:p>
        </w:tc>
        <w:tc>
          <w:tcPr>
            <w:tcW w:type="dxa" w:w="2376"/>
            <w:vAlign w:val="center"/>
          </w:tcPr>
          <w:p>
            <w:pPr>
              <w:spacing w:after="0" w:before="0"/>
            </w:pPr>
            <w:r>
              <w:rPr>
                <w:rFonts w:ascii="Aptos" w:hAnsi="Aptos"/>
                <w:sz w:val="16"/>
              </w:rPr>
            </w:r>
            <w:r>
              <w:rPr>
                <w:rFonts w:ascii="Aptos" w:hAnsi="Aptos"/>
                <w:b w:val="0"/>
                <w:sz w:val="16"/>
              </w:rPr>
              <w:t>Use-case restrictions</w:t>
            </w:r>
          </w:p>
        </w:tc>
        <w:tc>
          <w:tcPr>
            <w:tcW w:type="dxa" w:w="6696"/>
            <w:vAlign w:val="center"/>
          </w:tcPr>
          <w:p>
            <w:pPr>
              <w:spacing w:after="0" w:before="0"/>
            </w:pPr>
            <w:r>
              <w:rPr>
                <w:rFonts w:ascii="Aptos" w:hAnsi="Aptos"/>
                <w:sz w:val="16"/>
              </w:rPr>
            </w:r>
            <w:r>
              <w:rPr>
                <w:rFonts w:ascii="Aptos" w:hAnsi="Aptos"/>
                <w:b w:val="0"/>
                <w:sz w:val="16"/>
              </w:rPr>
              <w:t>Block prompts that request autonomous candidate ranking, hiring selection, termination, promotion, compensation, or other consequential personnel decisions.</w:t>
            </w:r>
          </w:p>
        </w:tc>
        <w:tc>
          <w:tcPr>
            <w:tcW w:type="dxa" w:w="1584"/>
            <w:vAlign w:val="center"/>
          </w:tcPr>
          <w:p>
            <w:pPr>
              <w:spacing w:after="0" w:before="0"/>
            </w:pPr>
            <w:r>
              <w:rPr>
                <w:rFonts w:ascii="Aptos" w:hAnsi="Aptos"/>
                <w:sz w:val="16"/>
              </w:rPr>
            </w:r>
            <w:r>
              <w:rPr>
                <w:rFonts w:ascii="Aptos" w:hAnsi="Aptos"/>
                <w:b w:val="0"/>
                <w:sz w:val="16"/>
              </w:rPr>
              <w:t>ETH-01, LEG-01</w:t>
            </w:r>
          </w:p>
        </w:tc>
      </w:tr>
      <w:tr>
        <w:trPr>
          <w:cantSplit/>
        </w:trPr>
        <w:tc>
          <w:tcPr>
            <w:tcW w:type="dxa" w:w="1152"/>
            <w:vAlign w:val="center"/>
            <w:shd w:fill="EEF4F8"/>
          </w:tcPr>
          <w:p>
            <w:pPr>
              <w:spacing w:after="0" w:before="0"/>
            </w:pPr>
            <w:r>
              <w:rPr>
                <w:rFonts w:ascii="Aptos" w:hAnsi="Aptos"/>
                <w:sz w:val="16"/>
              </w:rPr>
            </w:r>
            <w:r>
              <w:rPr>
                <w:rFonts w:ascii="Aptos" w:hAnsi="Aptos"/>
                <w:b w:val="0"/>
                <w:sz w:val="16"/>
              </w:rPr>
              <w:t>PO-02</w:t>
            </w:r>
          </w:p>
        </w:tc>
        <w:tc>
          <w:tcPr>
            <w:tcW w:type="dxa" w:w="2376"/>
            <w:vAlign w:val="center"/>
            <w:shd w:fill="EEF4F8"/>
          </w:tcPr>
          <w:p>
            <w:pPr>
              <w:spacing w:after="0" w:before="0"/>
            </w:pPr>
            <w:r>
              <w:rPr>
                <w:rFonts w:ascii="Aptos" w:hAnsi="Aptos"/>
                <w:sz w:val="16"/>
              </w:rPr>
            </w:r>
            <w:r>
              <w:rPr>
                <w:rFonts w:ascii="Aptos" w:hAnsi="Aptos"/>
                <w:b w:val="0"/>
                <w:sz w:val="16"/>
              </w:rPr>
              <w:t>Structured employment prompts</w:t>
            </w:r>
          </w:p>
        </w:tc>
        <w:tc>
          <w:tcPr>
            <w:tcW w:type="dxa" w:w="6696"/>
            <w:vAlign w:val="center"/>
            <w:shd w:fill="EEF4F8"/>
          </w:tcPr>
          <w:p>
            <w:pPr>
              <w:spacing w:after="0" w:before="0"/>
            </w:pPr>
            <w:r>
              <w:rPr>
                <w:rFonts w:ascii="Aptos" w:hAnsi="Aptos"/>
                <w:sz w:val="16"/>
              </w:rPr>
            </w:r>
            <w:r>
              <w:rPr>
                <w:rFonts w:ascii="Aptos" w:hAnsi="Aptos"/>
                <w:b w:val="0"/>
                <w:sz w:val="16"/>
              </w:rPr>
              <w:t>Use approved prompt templates that explicitly require qualification-based, job-relevant language and prohibit demographic assumptions where demographic information is not relevant.</w:t>
            </w:r>
          </w:p>
        </w:tc>
        <w:tc>
          <w:tcPr>
            <w:tcW w:type="dxa" w:w="1584"/>
            <w:vAlign w:val="center"/>
            <w:shd w:fill="EEF4F8"/>
          </w:tcPr>
          <w:p>
            <w:pPr>
              <w:spacing w:after="0" w:before="0"/>
            </w:pPr>
            <w:r>
              <w:rPr>
                <w:rFonts w:ascii="Aptos" w:hAnsi="Aptos"/>
                <w:sz w:val="16"/>
              </w:rPr>
            </w:r>
            <w:r>
              <w:rPr>
                <w:rFonts w:ascii="Aptos" w:hAnsi="Aptos"/>
                <w:b w:val="0"/>
                <w:sz w:val="16"/>
              </w:rPr>
              <w:t>ETH-01, LEG-01</w:t>
            </w:r>
          </w:p>
        </w:tc>
      </w:tr>
      <w:tr>
        <w:trPr>
          <w:cantSplit/>
        </w:trPr>
        <w:tc>
          <w:tcPr>
            <w:tcW w:type="dxa" w:w="1152"/>
            <w:vAlign w:val="center"/>
          </w:tcPr>
          <w:p>
            <w:pPr>
              <w:spacing w:after="0" w:before="0"/>
            </w:pPr>
            <w:r>
              <w:rPr>
                <w:rFonts w:ascii="Aptos" w:hAnsi="Aptos"/>
                <w:sz w:val="16"/>
              </w:rPr>
            </w:r>
            <w:r>
              <w:rPr>
                <w:rFonts w:ascii="Aptos" w:hAnsi="Aptos"/>
                <w:b w:val="0"/>
                <w:sz w:val="16"/>
              </w:rPr>
              <w:t>PO-03</w:t>
            </w:r>
          </w:p>
        </w:tc>
        <w:tc>
          <w:tcPr>
            <w:tcW w:type="dxa" w:w="2376"/>
            <w:vAlign w:val="center"/>
          </w:tcPr>
          <w:p>
            <w:pPr>
              <w:spacing w:after="0" w:before="0"/>
            </w:pPr>
            <w:r>
              <w:rPr>
                <w:rFonts w:ascii="Aptos" w:hAnsi="Aptos"/>
                <w:sz w:val="16"/>
              </w:rPr>
            </w:r>
            <w:r>
              <w:rPr>
                <w:rFonts w:ascii="Aptos" w:hAnsi="Aptos"/>
                <w:b w:val="0"/>
                <w:sz w:val="16"/>
              </w:rPr>
              <w:t>Gender-consistency validation</w:t>
            </w:r>
          </w:p>
        </w:tc>
        <w:tc>
          <w:tcPr>
            <w:tcW w:type="dxa" w:w="6696"/>
            <w:vAlign w:val="center"/>
          </w:tcPr>
          <w:p>
            <w:pPr>
              <w:spacing w:after="0" w:before="0"/>
            </w:pPr>
            <w:r>
              <w:rPr>
                <w:rFonts w:ascii="Aptos" w:hAnsi="Aptos"/>
                <w:sz w:val="16"/>
              </w:rPr>
            </w:r>
            <w:r>
              <w:rPr>
                <w:rFonts w:ascii="Aptos" w:hAnsi="Aptos"/>
                <w:b w:val="0"/>
                <w:sz w:val="16"/>
              </w:rPr>
              <w:t>Detect contradictions such as “experienced man” followed by female pronouns and reject or regenerate the output before display.</w:t>
            </w:r>
          </w:p>
        </w:tc>
        <w:tc>
          <w:tcPr>
            <w:tcW w:type="dxa" w:w="1584"/>
            <w:vAlign w:val="center"/>
          </w:tcPr>
          <w:p>
            <w:pPr>
              <w:spacing w:after="0" w:before="0"/>
            </w:pPr>
            <w:r>
              <w:rPr>
                <w:rFonts w:ascii="Aptos" w:hAnsi="Aptos"/>
                <w:sz w:val="16"/>
              </w:rPr>
            </w:r>
            <w:r>
              <w:rPr>
                <w:rFonts w:ascii="Aptos" w:hAnsi="Aptos"/>
                <w:b w:val="0"/>
                <w:sz w:val="16"/>
              </w:rPr>
              <w:t>ETH-01, SEC-01</w:t>
            </w:r>
          </w:p>
        </w:tc>
      </w:tr>
      <w:tr>
        <w:trPr>
          <w:cantSplit/>
        </w:trPr>
        <w:tc>
          <w:tcPr>
            <w:tcW w:type="dxa" w:w="1152"/>
            <w:vAlign w:val="center"/>
            <w:shd w:fill="EEF4F8"/>
          </w:tcPr>
          <w:p>
            <w:pPr>
              <w:spacing w:after="0" w:before="0"/>
            </w:pPr>
            <w:r>
              <w:rPr>
                <w:rFonts w:ascii="Aptos" w:hAnsi="Aptos"/>
                <w:sz w:val="16"/>
              </w:rPr>
            </w:r>
            <w:r>
              <w:rPr>
                <w:rFonts w:ascii="Aptos" w:hAnsi="Aptos"/>
                <w:b w:val="0"/>
                <w:sz w:val="16"/>
              </w:rPr>
              <w:t>PO-04</w:t>
            </w:r>
          </w:p>
        </w:tc>
        <w:tc>
          <w:tcPr>
            <w:tcW w:type="dxa" w:w="2376"/>
            <w:vAlign w:val="center"/>
            <w:shd w:fill="EEF4F8"/>
          </w:tcPr>
          <w:p>
            <w:pPr>
              <w:spacing w:after="0" w:before="0"/>
            </w:pPr>
            <w:r>
              <w:rPr>
                <w:rFonts w:ascii="Aptos" w:hAnsi="Aptos"/>
                <w:sz w:val="16"/>
              </w:rPr>
            </w:r>
            <w:r>
              <w:rPr>
                <w:rFonts w:ascii="Aptos" w:hAnsi="Aptos"/>
                <w:b w:val="0"/>
                <w:sz w:val="16"/>
              </w:rPr>
              <w:t>Attribution and URL filtering</w:t>
            </w:r>
          </w:p>
        </w:tc>
        <w:tc>
          <w:tcPr>
            <w:tcW w:type="dxa" w:w="6696"/>
            <w:vAlign w:val="center"/>
            <w:shd w:fill="EEF4F8"/>
          </w:tcPr>
          <w:p>
            <w:pPr>
              <w:spacing w:after="0" w:before="0"/>
            </w:pPr>
            <w:r>
              <w:rPr>
                <w:rFonts w:ascii="Aptos" w:hAnsi="Aptos"/>
                <w:sz w:val="16"/>
              </w:rPr>
            </w:r>
            <w:r>
              <w:rPr>
                <w:rFonts w:ascii="Aptos" w:hAnsi="Aptos"/>
                <w:b w:val="0"/>
                <w:sz w:val="16"/>
              </w:rPr>
              <w:t>Flag or remove invented-looking social handles, unsupported external references, and unexplained attributions unless verified by an approved source.</w:t>
            </w:r>
          </w:p>
        </w:tc>
        <w:tc>
          <w:tcPr>
            <w:tcW w:type="dxa" w:w="1584"/>
            <w:vAlign w:val="center"/>
            <w:shd w:fill="EEF4F8"/>
          </w:tcPr>
          <w:p>
            <w:pPr>
              <w:spacing w:after="0" w:before="0"/>
            </w:pPr>
            <w:r>
              <w:rPr>
                <w:rFonts w:ascii="Aptos" w:hAnsi="Aptos"/>
                <w:sz w:val="16"/>
              </w:rPr>
            </w:r>
            <w:r>
              <w:rPr>
                <w:rFonts w:ascii="Aptos" w:hAnsi="Aptos"/>
                <w:b w:val="0"/>
                <w:sz w:val="16"/>
              </w:rPr>
              <w:t>SEC-01</w:t>
            </w:r>
          </w:p>
        </w:tc>
      </w:tr>
      <w:tr>
        <w:trPr>
          <w:cantSplit/>
        </w:trPr>
        <w:tc>
          <w:tcPr>
            <w:tcW w:type="dxa" w:w="1152"/>
            <w:vAlign w:val="center"/>
          </w:tcPr>
          <w:p>
            <w:pPr>
              <w:spacing w:after="0" w:before="0"/>
            </w:pPr>
            <w:r>
              <w:rPr>
                <w:rFonts w:ascii="Aptos" w:hAnsi="Aptos"/>
                <w:sz w:val="16"/>
              </w:rPr>
            </w:r>
            <w:r>
              <w:rPr>
                <w:rFonts w:ascii="Aptos" w:hAnsi="Aptos"/>
                <w:b w:val="0"/>
                <w:sz w:val="16"/>
              </w:rPr>
              <w:t>PO-05</w:t>
            </w:r>
          </w:p>
        </w:tc>
        <w:tc>
          <w:tcPr>
            <w:tcW w:type="dxa" w:w="2376"/>
            <w:vAlign w:val="center"/>
          </w:tcPr>
          <w:p>
            <w:pPr>
              <w:spacing w:after="0" w:before="0"/>
            </w:pPr>
            <w:r>
              <w:rPr>
                <w:rFonts w:ascii="Aptos" w:hAnsi="Aptos"/>
                <w:sz w:val="16"/>
              </w:rPr>
            </w:r>
            <w:r>
              <w:rPr>
                <w:rFonts w:ascii="Aptos" w:hAnsi="Aptos"/>
                <w:b w:val="0"/>
                <w:sz w:val="16"/>
              </w:rPr>
              <w:t>Output schema validation</w:t>
            </w:r>
          </w:p>
        </w:tc>
        <w:tc>
          <w:tcPr>
            <w:tcW w:type="dxa" w:w="6696"/>
            <w:vAlign w:val="center"/>
          </w:tcPr>
          <w:p>
            <w:pPr>
              <w:spacing w:after="0" w:before="0"/>
            </w:pPr>
            <w:r>
              <w:rPr>
                <w:rFonts w:ascii="Aptos" w:hAnsi="Aptos"/>
                <w:sz w:val="16"/>
              </w:rPr>
            </w:r>
            <w:r>
              <w:rPr>
                <w:rFonts w:ascii="Aptos" w:hAnsi="Aptos"/>
                <w:b w:val="0"/>
                <w:sz w:val="16"/>
              </w:rPr>
              <w:t>Require outputs to conform to an expected structure and reject malformed delimiters, duplicated response markers, and unsupported metadata.</w:t>
            </w:r>
          </w:p>
        </w:tc>
        <w:tc>
          <w:tcPr>
            <w:tcW w:type="dxa" w:w="1584"/>
            <w:vAlign w:val="center"/>
          </w:tcPr>
          <w:p>
            <w:pPr>
              <w:spacing w:after="0" w:before="0"/>
            </w:pPr>
            <w:r>
              <w:rPr>
                <w:rFonts w:ascii="Aptos" w:hAnsi="Aptos"/>
                <w:sz w:val="16"/>
              </w:rPr>
            </w:r>
            <w:r>
              <w:rPr>
                <w:rFonts w:ascii="Aptos" w:hAnsi="Aptos"/>
                <w:b w:val="0"/>
                <w:sz w:val="16"/>
              </w:rPr>
              <w:t>SEC-01</w:t>
            </w:r>
          </w:p>
        </w:tc>
      </w:tr>
      <w:tr>
        <w:trPr>
          <w:cantSplit/>
        </w:trPr>
        <w:tc>
          <w:tcPr>
            <w:tcW w:type="dxa" w:w="1152"/>
            <w:vAlign w:val="center"/>
            <w:shd w:fill="EEF4F8"/>
          </w:tcPr>
          <w:p>
            <w:pPr>
              <w:spacing w:after="0" w:before="0"/>
            </w:pPr>
            <w:r>
              <w:rPr>
                <w:rFonts w:ascii="Aptos" w:hAnsi="Aptos"/>
                <w:sz w:val="16"/>
              </w:rPr>
            </w:r>
            <w:r>
              <w:rPr>
                <w:rFonts w:ascii="Aptos" w:hAnsi="Aptos"/>
                <w:b w:val="0"/>
                <w:sz w:val="16"/>
              </w:rPr>
              <w:t>PO-06</w:t>
            </w:r>
          </w:p>
        </w:tc>
        <w:tc>
          <w:tcPr>
            <w:tcW w:type="dxa" w:w="2376"/>
            <w:vAlign w:val="center"/>
            <w:shd w:fill="EEF4F8"/>
          </w:tcPr>
          <w:p>
            <w:pPr>
              <w:spacing w:after="0" w:before="0"/>
            </w:pPr>
            <w:r>
              <w:rPr>
                <w:rFonts w:ascii="Aptos" w:hAnsi="Aptos"/>
                <w:sz w:val="16"/>
              </w:rPr>
            </w:r>
            <w:r>
              <w:rPr>
                <w:rFonts w:ascii="Aptos" w:hAnsi="Aptos"/>
                <w:b w:val="0"/>
                <w:sz w:val="16"/>
              </w:rPr>
              <w:t>No automated action</w:t>
            </w:r>
          </w:p>
        </w:tc>
        <w:tc>
          <w:tcPr>
            <w:tcW w:type="dxa" w:w="6696"/>
            <w:vAlign w:val="center"/>
            <w:shd w:fill="EEF4F8"/>
          </w:tcPr>
          <w:p>
            <w:pPr>
              <w:spacing w:after="0" w:before="0"/>
            </w:pPr>
            <w:r>
              <w:rPr>
                <w:rFonts w:ascii="Aptos" w:hAnsi="Aptos"/>
                <w:sz w:val="16"/>
              </w:rPr>
            </w:r>
            <w:r>
              <w:rPr>
                <w:rFonts w:ascii="Aptos" w:hAnsi="Aptos"/>
                <w:b w:val="0"/>
                <w:sz w:val="16"/>
              </w:rPr>
              <w:t>Prevent generated text from directly triggering an HR workflow, candidate disposition, or personnel action without human review.</w:t>
            </w:r>
          </w:p>
        </w:tc>
        <w:tc>
          <w:tcPr>
            <w:tcW w:type="dxa" w:w="1584"/>
            <w:vAlign w:val="center"/>
            <w:shd w:fill="EEF4F8"/>
          </w:tcPr>
          <w:p>
            <w:pPr>
              <w:spacing w:after="0" w:before="0"/>
            </w:pPr>
            <w:r>
              <w:rPr>
                <w:rFonts w:ascii="Aptos" w:hAnsi="Aptos"/>
                <w:sz w:val="16"/>
              </w:rPr>
            </w:r>
            <w:r>
              <w:rPr>
                <w:rFonts w:ascii="Aptos" w:hAnsi="Aptos"/>
                <w:b w:val="0"/>
                <w:sz w:val="16"/>
              </w:rPr>
              <w:t>ETH-01, LEG-01, SEC-01</w:t>
            </w:r>
          </w:p>
        </w:tc>
      </w:tr>
    </w:tbl>
    <w:p>
      <w:pPr>
        <w:pStyle w:val="Heading2"/>
      </w:pPr>
      <w:r>
        <w:t>3.3 Explainability and Monitoring</w:t>
      </w:r>
    </w:p>
    <w:p>
      <w:r>
        <w:t>The audit methodology should become a regression-monitoring framework. No single metric should be treated as a fairness decision rule; quantitative signals must be interpreted together with qualitative review.</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blHeader w:val="true"/>
        </w:trPr>
        <w:tc>
          <w:tcPr>
            <w:tcW w:type="dxa" w:w="1152"/>
            <w:vAlign w:val="center"/>
            <w:shd w:fill="17365D"/>
          </w:tcPr>
          <w:p>
            <w:pPr>
              <w:spacing w:after="0" w:before="0"/>
            </w:pPr>
            <w:r>
              <w:rPr>
                <w:rFonts w:ascii="Aptos" w:hAnsi="Aptos"/>
                <w:b/>
                <w:color w:val="FFFFFF"/>
                <w:sz w:val="16"/>
              </w:rPr>
            </w:r>
            <w:r>
              <w:rPr>
                <w:rFonts w:ascii="Aptos" w:hAnsi="Aptos"/>
                <w:b/>
                <w:color w:val="FFFFFF"/>
                <w:sz w:val="16"/>
              </w:rPr>
              <w:t>Control ID</w:t>
            </w:r>
          </w:p>
        </w:tc>
        <w:tc>
          <w:tcPr>
            <w:tcW w:type="dxa" w:w="2448"/>
            <w:vAlign w:val="center"/>
            <w:shd w:fill="17365D"/>
          </w:tcPr>
          <w:p>
            <w:pPr>
              <w:spacing w:after="0" w:before="0"/>
            </w:pPr>
            <w:r>
              <w:rPr>
                <w:rFonts w:ascii="Aptos" w:hAnsi="Aptos"/>
                <w:b/>
                <w:color w:val="FFFFFF"/>
                <w:sz w:val="16"/>
              </w:rPr>
            </w:r>
            <w:r>
              <w:rPr>
                <w:rFonts w:ascii="Aptos" w:hAnsi="Aptos"/>
                <w:b/>
                <w:color w:val="FFFFFF"/>
                <w:sz w:val="16"/>
              </w:rPr>
              <w:t>Safeguard</w:t>
            </w:r>
          </w:p>
        </w:tc>
        <w:tc>
          <w:tcPr>
            <w:tcW w:type="dxa" w:w="6624"/>
            <w:vAlign w:val="center"/>
            <w:shd w:fill="17365D"/>
          </w:tcPr>
          <w:p>
            <w:pPr>
              <w:spacing w:after="0" w:before="0"/>
            </w:pPr>
            <w:r>
              <w:rPr>
                <w:rFonts w:ascii="Aptos" w:hAnsi="Aptos"/>
                <w:b/>
                <w:color w:val="FFFFFF"/>
                <w:sz w:val="16"/>
              </w:rPr>
            </w:r>
            <w:r>
              <w:rPr>
                <w:rFonts w:ascii="Aptos" w:hAnsi="Aptos"/>
                <w:b/>
                <w:color w:val="FFFFFF"/>
                <w:sz w:val="16"/>
              </w:rPr>
              <w:t>Action</w:t>
            </w:r>
          </w:p>
        </w:tc>
        <w:tc>
          <w:tcPr>
            <w:tcW w:type="dxa" w:w="1584"/>
            <w:vAlign w:val="center"/>
            <w:shd w:fill="17365D"/>
          </w:tcPr>
          <w:p>
            <w:pPr>
              <w:spacing w:after="0" w:before="0"/>
            </w:pPr>
            <w:r>
              <w:rPr>
                <w:rFonts w:ascii="Aptos" w:hAnsi="Aptos"/>
                <w:b/>
                <w:color w:val="FFFFFF"/>
                <w:sz w:val="16"/>
              </w:rPr>
            </w:r>
            <w:r>
              <w:rPr>
                <w:rFonts w:ascii="Aptos" w:hAnsi="Aptos"/>
                <w:b/>
                <w:color w:val="FFFFFF"/>
                <w:sz w:val="16"/>
              </w:rPr>
              <w:t>Mapped Risk</w:t>
            </w:r>
          </w:p>
        </w:tc>
      </w:tr>
      <w:tr>
        <w:trPr>
          <w:cantSplit/>
        </w:trPr>
        <w:tc>
          <w:tcPr>
            <w:tcW w:type="dxa" w:w="1152"/>
            <w:vAlign w:val="center"/>
          </w:tcPr>
          <w:p>
            <w:pPr>
              <w:spacing w:after="0" w:before="0"/>
            </w:pPr>
            <w:r>
              <w:rPr>
                <w:rFonts w:ascii="Aptos" w:hAnsi="Aptos"/>
                <w:sz w:val="16"/>
              </w:rPr>
            </w:r>
            <w:r>
              <w:rPr>
                <w:rFonts w:ascii="Aptos" w:hAnsi="Aptos"/>
                <w:b w:val="0"/>
                <w:sz w:val="16"/>
              </w:rPr>
              <w:t>XM-01</w:t>
            </w:r>
          </w:p>
        </w:tc>
        <w:tc>
          <w:tcPr>
            <w:tcW w:type="dxa" w:w="2448"/>
            <w:vAlign w:val="center"/>
          </w:tcPr>
          <w:p>
            <w:pPr>
              <w:spacing w:after="0" w:before="0"/>
            </w:pPr>
            <w:r>
              <w:rPr>
                <w:rFonts w:ascii="Aptos" w:hAnsi="Aptos"/>
                <w:sz w:val="16"/>
              </w:rPr>
            </w:r>
            <w:r>
              <w:rPr>
                <w:rFonts w:ascii="Aptos" w:hAnsi="Aptos"/>
                <w:b w:val="0"/>
                <w:sz w:val="16"/>
              </w:rPr>
              <w:t>Regression test suite</w:t>
            </w:r>
          </w:p>
        </w:tc>
        <w:tc>
          <w:tcPr>
            <w:tcW w:type="dxa" w:w="6624"/>
            <w:vAlign w:val="center"/>
          </w:tcPr>
          <w:p>
            <w:pPr>
              <w:spacing w:after="0" w:before="0"/>
            </w:pPr>
            <w:r>
              <w:rPr>
                <w:rFonts w:ascii="Aptos" w:hAnsi="Aptos"/>
                <w:sz w:val="16"/>
              </w:rPr>
            </w:r>
            <w:r>
              <w:rPr>
                <w:rFonts w:ascii="Aptos" w:hAnsi="Aptos"/>
                <w:b w:val="0"/>
                <w:sz w:val="16"/>
              </w:rPr>
              <w:t>Re-run predefined, custom, sensitivity, counterfactual, and lexicon tests after any model, data, prompt-template, or generation-setting change.</w:t>
            </w:r>
          </w:p>
        </w:tc>
        <w:tc>
          <w:tcPr>
            <w:tcW w:type="dxa" w:w="1584"/>
            <w:vAlign w:val="center"/>
          </w:tcPr>
          <w:p>
            <w:pPr>
              <w:spacing w:after="0" w:before="0"/>
            </w:pPr>
            <w:r>
              <w:rPr>
                <w:rFonts w:ascii="Aptos" w:hAnsi="Aptos"/>
                <w:sz w:val="16"/>
              </w:rPr>
            </w:r>
            <w:r>
              <w:rPr>
                <w:rFonts w:ascii="Aptos" w:hAnsi="Aptos"/>
                <w:b w:val="0"/>
                <w:sz w:val="16"/>
              </w:rPr>
              <w:t>ETH-01</w:t>
            </w:r>
          </w:p>
        </w:tc>
      </w:tr>
      <w:tr>
        <w:trPr>
          <w:cantSplit/>
        </w:trPr>
        <w:tc>
          <w:tcPr>
            <w:tcW w:type="dxa" w:w="1152"/>
            <w:vAlign w:val="center"/>
            <w:shd w:fill="EEF4F8"/>
          </w:tcPr>
          <w:p>
            <w:pPr>
              <w:spacing w:after="0" w:before="0"/>
            </w:pPr>
            <w:r>
              <w:rPr>
                <w:rFonts w:ascii="Aptos" w:hAnsi="Aptos"/>
                <w:sz w:val="16"/>
              </w:rPr>
            </w:r>
            <w:r>
              <w:rPr>
                <w:rFonts w:ascii="Aptos" w:hAnsi="Aptos"/>
                <w:b w:val="0"/>
                <w:sz w:val="16"/>
              </w:rPr>
              <w:t>XM-02</w:t>
            </w:r>
          </w:p>
        </w:tc>
        <w:tc>
          <w:tcPr>
            <w:tcW w:type="dxa" w:w="2448"/>
            <w:vAlign w:val="center"/>
            <w:shd w:fill="EEF4F8"/>
          </w:tcPr>
          <w:p>
            <w:pPr>
              <w:spacing w:after="0" w:before="0"/>
            </w:pPr>
            <w:r>
              <w:rPr>
                <w:rFonts w:ascii="Aptos" w:hAnsi="Aptos"/>
                <w:sz w:val="16"/>
              </w:rPr>
            </w:r>
            <w:r>
              <w:rPr>
                <w:rFonts w:ascii="Aptos" w:hAnsi="Aptos"/>
                <w:b w:val="0"/>
                <w:sz w:val="16"/>
              </w:rPr>
              <w:t>Counterfactual monitoring</w:t>
            </w:r>
          </w:p>
        </w:tc>
        <w:tc>
          <w:tcPr>
            <w:tcW w:type="dxa" w:w="6624"/>
            <w:vAlign w:val="center"/>
            <w:shd w:fill="EEF4F8"/>
          </w:tcPr>
          <w:p>
            <w:pPr>
              <w:spacing w:after="0" w:before="0"/>
            </w:pPr>
            <w:r>
              <w:rPr>
                <w:rFonts w:ascii="Aptos" w:hAnsi="Aptos"/>
                <w:sz w:val="16"/>
              </w:rPr>
            </w:r>
            <w:r>
              <w:rPr>
                <w:rFonts w:ascii="Aptos" w:hAnsi="Aptos"/>
                <w:b w:val="0"/>
                <w:sz w:val="16"/>
              </w:rPr>
              <w:t>Track completion-only Jaccard similarity and qualitative semantic differences across controlled gender swaps. Do not use an arbitrary Jaccard cutoff as the sole pass/fail rule.</w:t>
            </w:r>
          </w:p>
        </w:tc>
        <w:tc>
          <w:tcPr>
            <w:tcW w:type="dxa" w:w="1584"/>
            <w:vAlign w:val="center"/>
            <w:shd w:fill="EEF4F8"/>
          </w:tcPr>
          <w:p>
            <w:pPr>
              <w:spacing w:after="0" w:before="0"/>
            </w:pPr>
            <w:r>
              <w:rPr>
                <w:rFonts w:ascii="Aptos" w:hAnsi="Aptos"/>
                <w:sz w:val="16"/>
              </w:rPr>
            </w:r>
            <w:r>
              <w:rPr>
                <w:rFonts w:ascii="Aptos" w:hAnsi="Aptos"/>
                <w:b w:val="0"/>
                <w:sz w:val="16"/>
              </w:rPr>
              <w:t>ETH-01</w:t>
            </w:r>
          </w:p>
        </w:tc>
      </w:tr>
      <w:tr>
        <w:trPr>
          <w:cantSplit/>
        </w:trPr>
        <w:tc>
          <w:tcPr>
            <w:tcW w:type="dxa" w:w="1152"/>
            <w:vAlign w:val="center"/>
          </w:tcPr>
          <w:p>
            <w:pPr>
              <w:spacing w:after="0" w:before="0"/>
            </w:pPr>
            <w:r>
              <w:rPr>
                <w:rFonts w:ascii="Aptos" w:hAnsi="Aptos"/>
                <w:sz w:val="16"/>
              </w:rPr>
            </w:r>
            <w:r>
              <w:rPr>
                <w:rFonts w:ascii="Aptos" w:hAnsi="Aptos"/>
                <w:b w:val="0"/>
                <w:sz w:val="16"/>
              </w:rPr>
              <w:t>XM-03</w:t>
            </w:r>
          </w:p>
        </w:tc>
        <w:tc>
          <w:tcPr>
            <w:tcW w:type="dxa" w:w="2448"/>
            <w:vAlign w:val="center"/>
          </w:tcPr>
          <w:p>
            <w:pPr>
              <w:spacing w:after="0" w:before="0"/>
            </w:pPr>
            <w:r>
              <w:rPr>
                <w:rFonts w:ascii="Aptos" w:hAnsi="Aptos"/>
                <w:sz w:val="16"/>
              </w:rPr>
            </w:r>
            <w:r>
              <w:rPr>
                <w:rFonts w:ascii="Aptos" w:hAnsi="Aptos"/>
                <w:b w:val="0"/>
                <w:sz w:val="16"/>
              </w:rPr>
              <w:t>Bias-signal dashboard</w:t>
            </w:r>
          </w:p>
        </w:tc>
        <w:tc>
          <w:tcPr>
            <w:tcW w:type="dxa" w:w="6624"/>
            <w:vAlign w:val="center"/>
          </w:tcPr>
          <w:p>
            <w:pPr>
              <w:spacing w:after="0" w:before="0"/>
            </w:pPr>
            <w:r>
              <w:rPr>
                <w:rFonts w:ascii="Aptos" w:hAnsi="Aptos"/>
                <w:sz w:val="16"/>
              </w:rPr>
            </w:r>
            <w:r>
              <w:rPr>
                <w:rFonts w:ascii="Aptos" w:hAnsi="Aptos"/>
                <w:b w:val="0"/>
                <w:sz w:val="16"/>
              </w:rPr>
              <w:t>Track gender-term counts, leadership/support trait/action counts, gender-instruction contradictions, unsupported preference events, and output artifact rates.</w:t>
            </w:r>
          </w:p>
        </w:tc>
        <w:tc>
          <w:tcPr>
            <w:tcW w:type="dxa" w:w="1584"/>
            <w:vAlign w:val="center"/>
          </w:tcPr>
          <w:p>
            <w:pPr>
              <w:spacing w:after="0" w:before="0"/>
            </w:pPr>
            <w:r>
              <w:rPr>
                <w:rFonts w:ascii="Aptos" w:hAnsi="Aptos"/>
                <w:sz w:val="16"/>
              </w:rPr>
            </w:r>
            <w:r>
              <w:rPr>
                <w:rFonts w:ascii="Aptos" w:hAnsi="Aptos"/>
                <w:b w:val="0"/>
                <w:sz w:val="16"/>
              </w:rPr>
              <w:t>ETH-01, SEC-01</w:t>
            </w:r>
          </w:p>
        </w:tc>
      </w:tr>
      <w:tr>
        <w:trPr>
          <w:cantSplit/>
        </w:trPr>
        <w:tc>
          <w:tcPr>
            <w:tcW w:type="dxa" w:w="1152"/>
            <w:vAlign w:val="center"/>
            <w:shd w:fill="EEF4F8"/>
          </w:tcPr>
          <w:p>
            <w:pPr>
              <w:spacing w:after="0" w:before="0"/>
            </w:pPr>
            <w:r>
              <w:rPr>
                <w:rFonts w:ascii="Aptos" w:hAnsi="Aptos"/>
                <w:sz w:val="16"/>
              </w:rPr>
            </w:r>
            <w:r>
              <w:rPr>
                <w:rFonts w:ascii="Aptos" w:hAnsi="Aptos"/>
                <w:b w:val="0"/>
                <w:sz w:val="16"/>
              </w:rPr>
              <w:t>XM-04</w:t>
            </w:r>
          </w:p>
        </w:tc>
        <w:tc>
          <w:tcPr>
            <w:tcW w:type="dxa" w:w="2448"/>
            <w:vAlign w:val="center"/>
            <w:shd w:fill="EEF4F8"/>
          </w:tcPr>
          <w:p>
            <w:pPr>
              <w:spacing w:after="0" w:before="0"/>
            </w:pPr>
            <w:r>
              <w:rPr>
                <w:rFonts w:ascii="Aptos" w:hAnsi="Aptos"/>
                <w:sz w:val="16"/>
              </w:rPr>
            </w:r>
            <w:r>
              <w:rPr>
                <w:rFonts w:ascii="Aptos" w:hAnsi="Aptos"/>
                <w:b w:val="0"/>
                <w:sz w:val="16"/>
              </w:rPr>
              <w:t>Multi-seed robustness</w:t>
            </w:r>
          </w:p>
        </w:tc>
        <w:tc>
          <w:tcPr>
            <w:tcW w:type="dxa" w:w="6624"/>
            <w:vAlign w:val="center"/>
            <w:shd w:fill="EEF4F8"/>
          </w:tcPr>
          <w:p>
            <w:pPr>
              <w:spacing w:after="0" w:before="0"/>
            </w:pPr>
            <w:r>
              <w:rPr>
                <w:rFonts w:ascii="Aptos" w:hAnsi="Aptos"/>
                <w:sz w:val="16"/>
              </w:rPr>
            </w:r>
            <w:r>
              <w:rPr>
                <w:rFonts w:ascii="Aptos" w:hAnsi="Aptos"/>
                <w:b w:val="0"/>
                <w:sz w:val="16"/>
              </w:rPr>
              <w:t>Use multiple fixed seeds for stochastic evaluation so that a single unusually stable or unstable completion cannot determine release readiness.</w:t>
            </w:r>
          </w:p>
        </w:tc>
        <w:tc>
          <w:tcPr>
            <w:tcW w:type="dxa" w:w="1584"/>
            <w:vAlign w:val="center"/>
            <w:shd w:fill="EEF4F8"/>
          </w:tcPr>
          <w:p>
            <w:pPr>
              <w:spacing w:after="0" w:before="0"/>
            </w:pPr>
            <w:r>
              <w:rPr>
                <w:rFonts w:ascii="Aptos" w:hAnsi="Aptos"/>
                <w:sz w:val="16"/>
              </w:rPr>
            </w:r>
            <w:r>
              <w:rPr>
                <w:rFonts w:ascii="Aptos" w:hAnsi="Aptos"/>
                <w:b w:val="0"/>
                <w:sz w:val="16"/>
              </w:rPr>
              <w:t>ETH-01</w:t>
            </w:r>
          </w:p>
        </w:tc>
      </w:tr>
      <w:tr>
        <w:trPr>
          <w:cantSplit/>
        </w:trPr>
        <w:tc>
          <w:tcPr>
            <w:tcW w:type="dxa" w:w="1152"/>
            <w:vAlign w:val="center"/>
          </w:tcPr>
          <w:p>
            <w:pPr>
              <w:spacing w:after="0" w:before="0"/>
            </w:pPr>
            <w:r>
              <w:rPr>
                <w:rFonts w:ascii="Aptos" w:hAnsi="Aptos"/>
                <w:sz w:val="16"/>
              </w:rPr>
            </w:r>
            <w:r>
              <w:rPr>
                <w:rFonts w:ascii="Aptos" w:hAnsi="Aptos"/>
                <w:b w:val="0"/>
                <w:sz w:val="16"/>
              </w:rPr>
              <w:t>XM-05</w:t>
            </w:r>
          </w:p>
        </w:tc>
        <w:tc>
          <w:tcPr>
            <w:tcW w:type="dxa" w:w="2448"/>
            <w:vAlign w:val="center"/>
          </w:tcPr>
          <w:p>
            <w:pPr>
              <w:spacing w:after="0" w:before="0"/>
            </w:pPr>
            <w:r>
              <w:rPr>
                <w:rFonts w:ascii="Aptos" w:hAnsi="Aptos"/>
                <w:sz w:val="16"/>
              </w:rPr>
            </w:r>
            <w:r>
              <w:rPr>
                <w:rFonts w:ascii="Aptos" w:hAnsi="Aptos"/>
                <w:b w:val="0"/>
                <w:sz w:val="16"/>
              </w:rPr>
              <w:t>Production sampling review</w:t>
            </w:r>
          </w:p>
        </w:tc>
        <w:tc>
          <w:tcPr>
            <w:tcW w:type="dxa" w:w="6624"/>
            <w:vAlign w:val="center"/>
          </w:tcPr>
          <w:p>
            <w:pPr>
              <w:spacing w:after="0" w:before="0"/>
            </w:pPr>
            <w:r>
              <w:rPr>
                <w:rFonts w:ascii="Aptos" w:hAnsi="Aptos"/>
                <w:sz w:val="16"/>
              </w:rPr>
            </w:r>
            <w:r>
              <w:rPr>
                <w:rFonts w:ascii="Aptos" w:hAnsi="Aptos"/>
                <w:b w:val="0"/>
                <w:sz w:val="16"/>
              </w:rPr>
              <w:t>If deployed, periodically sample outputs by role family and use case for human fairness review, with escalation when thresholds are exceeded.</w:t>
            </w:r>
          </w:p>
        </w:tc>
        <w:tc>
          <w:tcPr>
            <w:tcW w:type="dxa" w:w="1584"/>
            <w:vAlign w:val="center"/>
          </w:tcPr>
          <w:p>
            <w:pPr>
              <w:spacing w:after="0" w:before="0"/>
            </w:pPr>
            <w:r>
              <w:rPr>
                <w:rFonts w:ascii="Aptos" w:hAnsi="Aptos"/>
                <w:sz w:val="16"/>
              </w:rPr>
            </w:r>
            <w:r>
              <w:rPr>
                <w:rFonts w:ascii="Aptos" w:hAnsi="Aptos"/>
                <w:b w:val="0"/>
                <w:sz w:val="16"/>
              </w:rPr>
              <w:t>ETH-01, LEG-01</w:t>
            </w:r>
          </w:p>
        </w:tc>
      </w:tr>
    </w:tbl>
    <w:p>
      <w:pPr>
        <w:pStyle w:val="Heading2"/>
      </w:pPr>
      <w:r>
        <w:t>3.4 Human Oversight and Governance</w:t>
      </w:r>
    </w:p>
    <w:p>
      <w:r>
        <w:t>Human oversight is mandatory for any use involving employment-related content. The model may support drafting or analysis, but it must not be the authorized decision-maker.</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blHeader w:val="true"/>
        </w:trPr>
        <w:tc>
          <w:tcPr>
            <w:tcW w:type="dxa" w:w="1152"/>
            <w:vAlign w:val="center"/>
            <w:shd w:fill="17365D"/>
          </w:tcPr>
          <w:p>
            <w:pPr>
              <w:spacing w:after="0" w:before="0"/>
            </w:pPr>
            <w:r>
              <w:rPr>
                <w:rFonts w:ascii="Aptos" w:hAnsi="Aptos"/>
                <w:b/>
                <w:color w:val="FFFFFF"/>
                <w:sz w:val="16"/>
              </w:rPr>
            </w:r>
            <w:r>
              <w:rPr>
                <w:rFonts w:ascii="Aptos" w:hAnsi="Aptos"/>
                <w:b/>
                <w:color w:val="FFFFFF"/>
                <w:sz w:val="16"/>
              </w:rPr>
              <w:t>Control ID</w:t>
            </w:r>
          </w:p>
        </w:tc>
        <w:tc>
          <w:tcPr>
            <w:tcW w:type="dxa" w:w="2376"/>
            <w:vAlign w:val="center"/>
            <w:shd w:fill="17365D"/>
          </w:tcPr>
          <w:p>
            <w:pPr>
              <w:spacing w:after="0" w:before="0"/>
            </w:pPr>
            <w:r>
              <w:rPr>
                <w:rFonts w:ascii="Aptos" w:hAnsi="Aptos"/>
                <w:b/>
                <w:color w:val="FFFFFF"/>
                <w:sz w:val="16"/>
              </w:rPr>
            </w:r>
            <w:r>
              <w:rPr>
                <w:rFonts w:ascii="Aptos" w:hAnsi="Aptos"/>
                <w:b/>
                <w:color w:val="FFFFFF"/>
                <w:sz w:val="16"/>
              </w:rPr>
              <w:t>Safeguard</w:t>
            </w:r>
          </w:p>
        </w:tc>
        <w:tc>
          <w:tcPr>
            <w:tcW w:type="dxa" w:w="6696"/>
            <w:vAlign w:val="center"/>
            <w:shd w:fill="17365D"/>
          </w:tcPr>
          <w:p>
            <w:pPr>
              <w:spacing w:after="0" w:before="0"/>
            </w:pPr>
            <w:r>
              <w:rPr>
                <w:rFonts w:ascii="Aptos" w:hAnsi="Aptos"/>
                <w:b/>
                <w:color w:val="FFFFFF"/>
                <w:sz w:val="16"/>
              </w:rPr>
            </w:r>
            <w:r>
              <w:rPr>
                <w:rFonts w:ascii="Aptos" w:hAnsi="Aptos"/>
                <w:b/>
                <w:color w:val="FFFFFF"/>
                <w:sz w:val="16"/>
              </w:rPr>
              <w:t>Action</w:t>
            </w:r>
          </w:p>
        </w:tc>
        <w:tc>
          <w:tcPr>
            <w:tcW w:type="dxa" w:w="1584"/>
            <w:vAlign w:val="center"/>
            <w:shd w:fill="17365D"/>
          </w:tcPr>
          <w:p>
            <w:pPr>
              <w:spacing w:after="0" w:before="0"/>
            </w:pPr>
            <w:r>
              <w:rPr>
                <w:rFonts w:ascii="Aptos" w:hAnsi="Aptos"/>
                <w:b/>
                <w:color w:val="FFFFFF"/>
                <w:sz w:val="16"/>
              </w:rPr>
            </w:r>
            <w:r>
              <w:rPr>
                <w:rFonts w:ascii="Aptos" w:hAnsi="Aptos"/>
                <w:b/>
                <w:color w:val="FFFFFF"/>
                <w:sz w:val="16"/>
              </w:rPr>
              <w:t>Mapped Risk</w:t>
            </w:r>
          </w:p>
        </w:tc>
      </w:tr>
      <w:tr>
        <w:trPr>
          <w:cantSplit/>
        </w:trPr>
        <w:tc>
          <w:tcPr>
            <w:tcW w:type="dxa" w:w="1152"/>
            <w:vAlign w:val="center"/>
          </w:tcPr>
          <w:p>
            <w:pPr>
              <w:spacing w:after="0" w:before="0"/>
            </w:pPr>
            <w:r>
              <w:rPr>
                <w:rFonts w:ascii="Aptos" w:hAnsi="Aptos"/>
                <w:sz w:val="16"/>
              </w:rPr>
            </w:r>
            <w:r>
              <w:rPr>
                <w:rFonts w:ascii="Aptos" w:hAnsi="Aptos"/>
                <w:b w:val="0"/>
                <w:sz w:val="16"/>
              </w:rPr>
              <w:t>HG-01</w:t>
            </w:r>
          </w:p>
        </w:tc>
        <w:tc>
          <w:tcPr>
            <w:tcW w:type="dxa" w:w="2376"/>
            <w:vAlign w:val="center"/>
          </w:tcPr>
          <w:p>
            <w:pPr>
              <w:spacing w:after="0" w:before="0"/>
            </w:pPr>
            <w:r>
              <w:rPr>
                <w:rFonts w:ascii="Aptos" w:hAnsi="Aptos"/>
                <w:sz w:val="16"/>
              </w:rPr>
            </w:r>
            <w:r>
              <w:rPr>
                <w:rFonts w:ascii="Aptos" w:hAnsi="Aptos"/>
                <w:b w:val="0"/>
                <w:sz w:val="16"/>
              </w:rPr>
              <w:t>Human decision authority</w:t>
            </w:r>
          </w:p>
        </w:tc>
        <w:tc>
          <w:tcPr>
            <w:tcW w:type="dxa" w:w="6696"/>
            <w:vAlign w:val="center"/>
          </w:tcPr>
          <w:p>
            <w:pPr>
              <w:spacing w:after="0" w:before="0"/>
            </w:pPr>
            <w:r>
              <w:rPr>
                <w:rFonts w:ascii="Aptos" w:hAnsi="Aptos"/>
                <w:sz w:val="16"/>
              </w:rPr>
            </w:r>
            <w:r>
              <w:rPr>
                <w:rFonts w:ascii="Aptos" w:hAnsi="Aptos"/>
                <w:b w:val="0"/>
                <w:sz w:val="16"/>
              </w:rPr>
              <w:t>Require a qualified human reviewer to make all consequential employment decisions. Model output may inform but never determine candidate or employee disposition.</w:t>
            </w:r>
          </w:p>
        </w:tc>
        <w:tc>
          <w:tcPr>
            <w:tcW w:type="dxa" w:w="1584"/>
            <w:vAlign w:val="center"/>
          </w:tcPr>
          <w:p>
            <w:pPr>
              <w:spacing w:after="0" w:before="0"/>
            </w:pPr>
            <w:r>
              <w:rPr>
                <w:rFonts w:ascii="Aptos" w:hAnsi="Aptos"/>
                <w:sz w:val="16"/>
              </w:rPr>
            </w:r>
            <w:r>
              <w:rPr>
                <w:rFonts w:ascii="Aptos" w:hAnsi="Aptos"/>
                <w:b w:val="0"/>
                <w:sz w:val="16"/>
              </w:rPr>
              <w:t>ETH-01, LEG-01</w:t>
            </w:r>
          </w:p>
        </w:tc>
      </w:tr>
      <w:tr>
        <w:trPr>
          <w:cantSplit/>
        </w:trPr>
        <w:tc>
          <w:tcPr>
            <w:tcW w:type="dxa" w:w="1152"/>
            <w:vAlign w:val="center"/>
            <w:shd w:fill="EEF4F8"/>
          </w:tcPr>
          <w:p>
            <w:pPr>
              <w:spacing w:after="0" w:before="0"/>
            </w:pPr>
            <w:r>
              <w:rPr>
                <w:rFonts w:ascii="Aptos" w:hAnsi="Aptos"/>
                <w:sz w:val="16"/>
              </w:rPr>
            </w:r>
            <w:r>
              <w:rPr>
                <w:rFonts w:ascii="Aptos" w:hAnsi="Aptos"/>
                <w:b w:val="0"/>
                <w:sz w:val="16"/>
              </w:rPr>
              <w:t>HG-02</w:t>
            </w:r>
          </w:p>
        </w:tc>
        <w:tc>
          <w:tcPr>
            <w:tcW w:type="dxa" w:w="2376"/>
            <w:vAlign w:val="center"/>
            <w:shd w:fill="EEF4F8"/>
          </w:tcPr>
          <w:p>
            <w:pPr>
              <w:spacing w:after="0" w:before="0"/>
            </w:pPr>
            <w:r>
              <w:rPr>
                <w:rFonts w:ascii="Aptos" w:hAnsi="Aptos"/>
                <w:sz w:val="16"/>
              </w:rPr>
            </w:r>
            <w:r>
              <w:rPr>
                <w:rFonts w:ascii="Aptos" w:hAnsi="Aptos"/>
                <w:b w:val="0"/>
                <w:sz w:val="16"/>
              </w:rPr>
              <w:t>High-risk use approval</w:t>
            </w:r>
          </w:p>
        </w:tc>
        <w:tc>
          <w:tcPr>
            <w:tcW w:type="dxa" w:w="6696"/>
            <w:vAlign w:val="center"/>
            <w:shd w:fill="EEF4F8"/>
          </w:tcPr>
          <w:p>
            <w:pPr>
              <w:spacing w:after="0" w:before="0"/>
            </w:pPr>
            <w:r>
              <w:rPr>
                <w:rFonts w:ascii="Aptos" w:hAnsi="Aptos"/>
                <w:sz w:val="16"/>
              </w:rPr>
            </w:r>
            <w:r>
              <w:rPr>
                <w:rFonts w:ascii="Aptos" w:hAnsi="Aptos"/>
                <w:b w:val="0"/>
                <w:sz w:val="16"/>
              </w:rPr>
              <w:t>Require Ethics/Responsible AI, Legal/Compliance, Security, and the business owner to approve any proposed employment-related deployment before release.</w:t>
            </w:r>
          </w:p>
        </w:tc>
        <w:tc>
          <w:tcPr>
            <w:tcW w:type="dxa" w:w="1584"/>
            <w:vAlign w:val="center"/>
            <w:shd w:fill="EEF4F8"/>
          </w:tcPr>
          <w:p>
            <w:pPr>
              <w:spacing w:after="0" w:before="0"/>
            </w:pPr>
            <w:r>
              <w:rPr>
                <w:rFonts w:ascii="Aptos" w:hAnsi="Aptos"/>
                <w:sz w:val="16"/>
              </w:rPr>
            </w:r>
            <w:r>
              <w:rPr>
                <w:rFonts w:ascii="Aptos" w:hAnsi="Aptos"/>
                <w:b w:val="0"/>
                <w:sz w:val="16"/>
              </w:rPr>
              <w:t>ETH-01, LEG-01, SEC-01</w:t>
            </w:r>
          </w:p>
        </w:tc>
      </w:tr>
      <w:tr>
        <w:trPr>
          <w:cantSplit/>
        </w:trPr>
        <w:tc>
          <w:tcPr>
            <w:tcW w:type="dxa" w:w="1152"/>
            <w:vAlign w:val="center"/>
          </w:tcPr>
          <w:p>
            <w:pPr>
              <w:spacing w:after="0" w:before="0"/>
            </w:pPr>
            <w:r>
              <w:rPr>
                <w:rFonts w:ascii="Aptos" w:hAnsi="Aptos"/>
                <w:sz w:val="16"/>
              </w:rPr>
            </w:r>
            <w:r>
              <w:rPr>
                <w:rFonts w:ascii="Aptos" w:hAnsi="Aptos"/>
                <w:b w:val="0"/>
                <w:sz w:val="16"/>
              </w:rPr>
              <w:t>HG-03</w:t>
            </w:r>
          </w:p>
        </w:tc>
        <w:tc>
          <w:tcPr>
            <w:tcW w:type="dxa" w:w="2376"/>
            <w:vAlign w:val="center"/>
          </w:tcPr>
          <w:p>
            <w:pPr>
              <w:spacing w:after="0" w:before="0"/>
            </w:pPr>
            <w:r>
              <w:rPr>
                <w:rFonts w:ascii="Aptos" w:hAnsi="Aptos"/>
                <w:sz w:val="16"/>
              </w:rPr>
            </w:r>
            <w:r>
              <w:rPr>
                <w:rFonts w:ascii="Aptos" w:hAnsi="Aptos"/>
                <w:b w:val="0"/>
                <w:sz w:val="16"/>
              </w:rPr>
              <w:t>Documented use policy</w:t>
            </w:r>
          </w:p>
        </w:tc>
        <w:tc>
          <w:tcPr>
            <w:tcW w:type="dxa" w:w="6696"/>
            <w:vAlign w:val="center"/>
          </w:tcPr>
          <w:p>
            <w:pPr>
              <w:spacing w:after="0" w:before="0"/>
            </w:pPr>
            <w:r>
              <w:rPr>
                <w:rFonts w:ascii="Aptos" w:hAnsi="Aptos"/>
                <w:sz w:val="16"/>
              </w:rPr>
            </w:r>
            <w:r>
              <w:rPr>
                <w:rFonts w:ascii="Aptos" w:hAnsi="Aptos"/>
                <w:b w:val="0"/>
                <w:sz w:val="16"/>
              </w:rPr>
              <w:t>Publish prohibited uses, required review steps, escalation conditions, and examples of inappropriate reliance on generated recommendations.</w:t>
            </w:r>
          </w:p>
        </w:tc>
        <w:tc>
          <w:tcPr>
            <w:tcW w:type="dxa" w:w="1584"/>
            <w:vAlign w:val="center"/>
          </w:tcPr>
          <w:p>
            <w:pPr>
              <w:spacing w:after="0" w:before="0"/>
            </w:pPr>
            <w:r>
              <w:rPr>
                <w:rFonts w:ascii="Aptos" w:hAnsi="Aptos"/>
                <w:sz w:val="16"/>
              </w:rPr>
            </w:r>
            <w:r>
              <w:rPr>
                <w:rFonts w:ascii="Aptos" w:hAnsi="Aptos"/>
                <w:b w:val="0"/>
                <w:sz w:val="16"/>
              </w:rPr>
              <w:t>ETH-01, LEG-01</w:t>
            </w:r>
          </w:p>
        </w:tc>
      </w:tr>
      <w:tr>
        <w:trPr>
          <w:cantSplit/>
        </w:trPr>
        <w:tc>
          <w:tcPr>
            <w:tcW w:type="dxa" w:w="1152"/>
            <w:vAlign w:val="center"/>
            <w:shd w:fill="EEF4F8"/>
          </w:tcPr>
          <w:p>
            <w:pPr>
              <w:spacing w:after="0" w:before="0"/>
            </w:pPr>
            <w:r>
              <w:rPr>
                <w:rFonts w:ascii="Aptos" w:hAnsi="Aptos"/>
                <w:sz w:val="16"/>
              </w:rPr>
            </w:r>
            <w:r>
              <w:rPr>
                <w:rFonts w:ascii="Aptos" w:hAnsi="Aptos"/>
                <w:b w:val="0"/>
                <w:sz w:val="16"/>
              </w:rPr>
              <w:t>HG-04</w:t>
            </w:r>
          </w:p>
        </w:tc>
        <w:tc>
          <w:tcPr>
            <w:tcW w:type="dxa" w:w="2376"/>
            <w:vAlign w:val="center"/>
            <w:shd w:fill="EEF4F8"/>
          </w:tcPr>
          <w:p>
            <w:pPr>
              <w:spacing w:after="0" w:before="0"/>
            </w:pPr>
            <w:r>
              <w:rPr>
                <w:rFonts w:ascii="Aptos" w:hAnsi="Aptos"/>
                <w:sz w:val="16"/>
              </w:rPr>
            </w:r>
            <w:r>
              <w:rPr>
                <w:rFonts w:ascii="Aptos" w:hAnsi="Aptos"/>
                <w:b w:val="0"/>
                <w:sz w:val="16"/>
              </w:rPr>
              <w:t>Audit logging</w:t>
            </w:r>
          </w:p>
        </w:tc>
        <w:tc>
          <w:tcPr>
            <w:tcW w:type="dxa" w:w="6696"/>
            <w:vAlign w:val="center"/>
            <w:shd w:fill="EEF4F8"/>
          </w:tcPr>
          <w:p>
            <w:pPr>
              <w:spacing w:after="0" w:before="0"/>
            </w:pPr>
            <w:r>
              <w:rPr>
                <w:rFonts w:ascii="Aptos" w:hAnsi="Aptos"/>
                <w:sz w:val="16"/>
              </w:rPr>
            </w:r>
            <w:r>
              <w:rPr>
                <w:rFonts w:ascii="Aptos" w:hAnsi="Aptos"/>
                <w:b w:val="0"/>
                <w:sz w:val="16"/>
              </w:rPr>
              <w:t>Record model/version, prompt template, generation settings, output, reviewer disposition, and any override for controlled employment workflows.</w:t>
            </w:r>
          </w:p>
        </w:tc>
        <w:tc>
          <w:tcPr>
            <w:tcW w:type="dxa" w:w="1584"/>
            <w:vAlign w:val="center"/>
            <w:shd w:fill="EEF4F8"/>
          </w:tcPr>
          <w:p>
            <w:pPr>
              <w:spacing w:after="0" w:before="0"/>
            </w:pPr>
            <w:r>
              <w:rPr>
                <w:rFonts w:ascii="Aptos" w:hAnsi="Aptos"/>
                <w:sz w:val="16"/>
              </w:rPr>
            </w:r>
            <w:r>
              <w:rPr>
                <w:rFonts w:ascii="Aptos" w:hAnsi="Aptos"/>
                <w:b w:val="0"/>
                <w:sz w:val="16"/>
              </w:rPr>
              <w:t>LEG-01, SEC-01</w:t>
            </w:r>
          </w:p>
        </w:tc>
      </w:tr>
      <w:tr>
        <w:trPr>
          <w:cantSplit/>
        </w:trPr>
        <w:tc>
          <w:tcPr>
            <w:tcW w:type="dxa" w:w="1152"/>
            <w:vAlign w:val="center"/>
          </w:tcPr>
          <w:p>
            <w:pPr>
              <w:spacing w:after="0" w:before="0"/>
            </w:pPr>
            <w:r>
              <w:rPr>
                <w:rFonts w:ascii="Aptos" w:hAnsi="Aptos"/>
                <w:sz w:val="16"/>
              </w:rPr>
            </w:r>
            <w:r>
              <w:rPr>
                <w:rFonts w:ascii="Aptos" w:hAnsi="Aptos"/>
                <w:b w:val="0"/>
                <w:sz w:val="16"/>
              </w:rPr>
              <w:t>HG-05</w:t>
            </w:r>
          </w:p>
        </w:tc>
        <w:tc>
          <w:tcPr>
            <w:tcW w:type="dxa" w:w="2376"/>
            <w:vAlign w:val="center"/>
          </w:tcPr>
          <w:p>
            <w:pPr>
              <w:spacing w:after="0" w:before="0"/>
            </w:pPr>
            <w:r>
              <w:rPr>
                <w:rFonts w:ascii="Aptos" w:hAnsi="Aptos"/>
                <w:sz w:val="16"/>
              </w:rPr>
            </w:r>
            <w:r>
              <w:rPr>
                <w:rFonts w:ascii="Aptos" w:hAnsi="Aptos"/>
                <w:b w:val="0"/>
                <w:sz w:val="16"/>
              </w:rPr>
              <w:t>Incident and rollback process</w:t>
            </w:r>
          </w:p>
        </w:tc>
        <w:tc>
          <w:tcPr>
            <w:tcW w:type="dxa" w:w="6696"/>
            <w:vAlign w:val="center"/>
          </w:tcPr>
          <w:p>
            <w:pPr>
              <w:spacing w:after="0" w:before="0"/>
            </w:pPr>
            <w:r>
              <w:rPr>
                <w:rFonts w:ascii="Aptos" w:hAnsi="Aptos"/>
                <w:sz w:val="16"/>
              </w:rPr>
            </w:r>
            <w:r>
              <w:rPr>
                <w:rFonts w:ascii="Aptos" w:hAnsi="Aptos"/>
                <w:b w:val="0"/>
                <w:sz w:val="16"/>
              </w:rPr>
              <w:t>Define a process to suspend the model, preserve evidence, investigate, remediate, and revalidate after material bias or integrity incidents.</w:t>
            </w:r>
          </w:p>
        </w:tc>
        <w:tc>
          <w:tcPr>
            <w:tcW w:type="dxa" w:w="1584"/>
            <w:vAlign w:val="center"/>
          </w:tcPr>
          <w:p>
            <w:pPr>
              <w:spacing w:after="0" w:before="0"/>
            </w:pPr>
            <w:r>
              <w:rPr>
                <w:rFonts w:ascii="Aptos" w:hAnsi="Aptos"/>
                <w:sz w:val="16"/>
              </w:rPr>
            </w:r>
            <w:r>
              <w:rPr>
                <w:rFonts w:ascii="Aptos" w:hAnsi="Aptos"/>
                <w:b w:val="0"/>
                <w:sz w:val="16"/>
              </w:rPr>
              <w:t>ETH-01, LEG-01, SEC-01</w:t>
            </w:r>
          </w:p>
        </w:tc>
      </w:tr>
      <w:tr>
        <w:trPr>
          <w:cantSplit/>
        </w:trPr>
        <w:tc>
          <w:tcPr>
            <w:tcW w:type="dxa" w:w="1152"/>
            <w:vAlign w:val="center"/>
            <w:shd w:fill="EEF4F8"/>
          </w:tcPr>
          <w:p>
            <w:pPr>
              <w:spacing w:after="0" w:before="0"/>
            </w:pPr>
            <w:r>
              <w:rPr>
                <w:rFonts w:ascii="Aptos" w:hAnsi="Aptos"/>
                <w:sz w:val="16"/>
              </w:rPr>
            </w:r>
            <w:r>
              <w:rPr>
                <w:rFonts w:ascii="Aptos" w:hAnsi="Aptos"/>
                <w:b w:val="0"/>
                <w:sz w:val="16"/>
              </w:rPr>
              <w:t>HG-06</w:t>
            </w:r>
          </w:p>
        </w:tc>
        <w:tc>
          <w:tcPr>
            <w:tcW w:type="dxa" w:w="2376"/>
            <w:vAlign w:val="center"/>
            <w:shd w:fill="EEF4F8"/>
          </w:tcPr>
          <w:p>
            <w:pPr>
              <w:spacing w:after="0" w:before="0"/>
            </w:pPr>
            <w:r>
              <w:rPr>
                <w:rFonts w:ascii="Aptos" w:hAnsi="Aptos"/>
                <w:sz w:val="16"/>
              </w:rPr>
            </w:r>
            <w:r>
              <w:rPr>
                <w:rFonts w:ascii="Aptos" w:hAnsi="Aptos"/>
                <w:b w:val="0"/>
                <w:sz w:val="16"/>
              </w:rPr>
              <w:t>Periodic independent review</w:t>
            </w:r>
          </w:p>
        </w:tc>
        <w:tc>
          <w:tcPr>
            <w:tcW w:type="dxa" w:w="6696"/>
            <w:vAlign w:val="center"/>
            <w:shd w:fill="EEF4F8"/>
          </w:tcPr>
          <w:p>
            <w:pPr>
              <w:spacing w:after="0" w:before="0"/>
            </w:pPr>
            <w:r>
              <w:rPr>
                <w:rFonts w:ascii="Aptos" w:hAnsi="Aptos"/>
                <w:sz w:val="16"/>
              </w:rPr>
            </w:r>
            <w:r>
              <w:rPr>
                <w:rFonts w:ascii="Aptos" w:hAnsi="Aptos"/>
                <w:b w:val="0"/>
                <w:sz w:val="16"/>
              </w:rPr>
              <w:t>Schedule recurring independent bias and governance review rather than relying only on the development team that owns the model.</w:t>
            </w:r>
          </w:p>
        </w:tc>
        <w:tc>
          <w:tcPr>
            <w:tcW w:type="dxa" w:w="1584"/>
            <w:vAlign w:val="center"/>
            <w:shd w:fill="EEF4F8"/>
          </w:tcPr>
          <w:p>
            <w:pPr>
              <w:spacing w:after="0" w:before="0"/>
            </w:pPr>
            <w:r>
              <w:rPr>
                <w:rFonts w:ascii="Aptos" w:hAnsi="Aptos"/>
                <w:sz w:val="16"/>
              </w:rPr>
            </w:r>
            <w:r>
              <w:rPr>
                <w:rFonts w:ascii="Aptos" w:hAnsi="Aptos"/>
                <w:b w:val="0"/>
                <w:sz w:val="16"/>
              </w:rPr>
              <w:t>ETH-01, LEG-01</w:t>
            </w:r>
          </w:p>
        </w:tc>
      </w:tr>
    </w:tbl>
    <w:p>
      <w:pPr>
        <w:pStyle w:val="Callout"/>
      </w:pPr>
      <w:r>
        <w:t>Supporting safeguards: Privacy and environmental risks are lower in the bounded audit but remain explicitly in scope. Section 3.5 maps PRI-01 and ENV-01 to actionable safeguards; Section 6 provides corresponding validation gates.</w:t>
      </w:r>
    </w:p>
    <w:p>
      <w:pPr>
        <w:pStyle w:val="Heading2"/>
      </w:pPr>
      <w:r>
        <w:t>3.5 Privacy and Environmental Safeguards</w:t>
      </w:r>
    </w:p>
    <w:p>
      <w:r>
        <w:t>Privacy and environmental risks were rated Low in the bounded audit, but each remains an identified risk and therefore requires an explicit safeguard path. These controls make the audit-to-mitigation mapping complete and become mandatory when the triggering deployment conditions are present.</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blHeader w:val="true"/>
        </w:trPr>
        <w:tc>
          <w:tcPr>
            <w:tcW w:type="dxa" w:w="1152"/>
            <w:vAlign w:val="center"/>
            <w:shd w:fill="17365D"/>
          </w:tcPr>
          <w:p>
            <w:pPr>
              <w:spacing w:after="0"/>
            </w:pPr>
            <w:r>
              <w:rPr>
                <w:b/>
                <w:sz w:val="18"/>
              </w:rPr>
              <w:t>Control ID</w:t>
            </w:r>
          </w:p>
        </w:tc>
        <w:tc>
          <w:tcPr>
            <w:tcW w:type="dxa" w:w="2376"/>
            <w:vAlign w:val="center"/>
            <w:shd w:fill="17365D"/>
          </w:tcPr>
          <w:p>
            <w:pPr>
              <w:spacing w:after="0"/>
            </w:pPr>
            <w:r>
              <w:rPr>
                <w:b/>
                <w:sz w:val="18"/>
              </w:rPr>
              <w:t>Safeguard</w:t>
            </w:r>
          </w:p>
        </w:tc>
        <w:tc>
          <w:tcPr>
            <w:tcW w:type="dxa" w:w="6696"/>
            <w:vAlign w:val="center"/>
            <w:shd w:fill="17365D"/>
          </w:tcPr>
          <w:p>
            <w:pPr>
              <w:spacing w:after="0"/>
            </w:pPr>
            <w:r>
              <w:rPr>
                <w:b/>
                <w:sz w:val="18"/>
              </w:rPr>
              <w:t>Action</w:t>
            </w:r>
          </w:p>
        </w:tc>
        <w:tc>
          <w:tcPr>
            <w:tcW w:type="dxa" w:w="1584"/>
            <w:vAlign w:val="center"/>
            <w:shd w:fill="17365D"/>
          </w:tcPr>
          <w:p>
            <w:pPr>
              <w:spacing w:after="0"/>
            </w:pPr>
            <w:r>
              <w:rPr>
                <w:b/>
                <w:sz w:val="18"/>
              </w:rPr>
              <w:t>Mapped Risk</w:t>
            </w:r>
          </w:p>
        </w:tc>
      </w:tr>
      <w:tr>
        <w:trPr>
          <w:cantSplit/>
        </w:trPr>
        <w:tc>
          <w:tcPr>
            <w:tcW w:type="dxa" w:w="1152"/>
            <w:vAlign w:val="center"/>
          </w:tcPr>
          <w:p>
            <w:pPr>
              <w:spacing w:after="0"/>
            </w:pPr>
            <w:r>
              <w:rPr>
                <w:sz w:val="18"/>
              </w:rPr>
              <w:t>PR-01</w:t>
            </w:r>
          </w:p>
        </w:tc>
        <w:tc>
          <w:tcPr>
            <w:tcW w:type="dxa" w:w="2376"/>
            <w:vAlign w:val="center"/>
          </w:tcPr>
          <w:p>
            <w:pPr>
              <w:spacing w:after="0"/>
            </w:pPr>
            <w:r>
              <w:rPr>
                <w:sz w:val="18"/>
              </w:rPr>
              <w:t>Privacy-by-design controls</w:t>
            </w:r>
          </w:p>
        </w:tc>
        <w:tc>
          <w:tcPr>
            <w:tcW w:type="dxa" w:w="6696"/>
            <w:vAlign w:val="center"/>
          </w:tcPr>
          <w:p>
            <w:pPr>
              <w:spacing w:after="0"/>
            </w:pPr>
            <w:r>
              <w:rPr>
                <w:sz w:val="18"/>
              </w:rPr>
              <w:t>Before any workflow processes real applicant or employee data, complete a deployment-specific privacy assessment; minimize data collected or placed in prompts; restrict access; define retention and deletion rules; log access; and test for inappropriate memorization or disclosure before release.</w:t>
            </w:r>
          </w:p>
        </w:tc>
        <w:tc>
          <w:tcPr>
            <w:tcW w:type="dxa" w:w="1584"/>
            <w:vAlign w:val="center"/>
          </w:tcPr>
          <w:p>
            <w:pPr>
              <w:spacing w:after="0"/>
            </w:pPr>
            <w:r>
              <w:rPr>
                <w:sz w:val="18"/>
              </w:rPr>
              <w:t>PRI-01</w:t>
            </w:r>
          </w:p>
        </w:tc>
      </w:tr>
      <w:tr>
        <w:trPr>
          <w:cantSplit/>
        </w:trPr>
        <w:tc>
          <w:tcPr>
            <w:tcW w:type="dxa" w:w="1152"/>
            <w:vAlign w:val="center"/>
            <w:shd w:fill="EEF4F8"/>
          </w:tcPr>
          <w:p>
            <w:pPr>
              <w:spacing w:after="0"/>
            </w:pPr>
            <w:r>
              <w:rPr>
                <w:sz w:val="18"/>
              </w:rPr>
              <w:t>EN-01</w:t>
            </w:r>
          </w:p>
        </w:tc>
        <w:tc>
          <w:tcPr>
            <w:tcW w:type="dxa" w:w="2376"/>
            <w:vAlign w:val="center"/>
            <w:shd w:fill="EEF4F8"/>
          </w:tcPr>
          <w:p>
            <w:pPr>
              <w:spacing w:after="0"/>
            </w:pPr>
            <w:r>
              <w:rPr>
                <w:sz w:val="18"/>
              </w:rPr>
              <w:t>Compute and environmental measurement</w:t>
            </w:r>
          </w:p>
        </w:tc>
        <w:tc>
          <w:tcPr>
            <w:tcW w:type="dxa" w:w="6696"/>
            <w:vAlign w:val="center"/>
            <w:shd w:fill="EEF4F8"/>
          </w:tcPr>
          <w:p>
            <w:pPr>
              <w:spacing w:after="0"/>
            </w:pPr>
            <w:r>
              <w:rPr>
                <w:sz w:val="18"/>
              </w:rPr>
              <w:t>Before materially scaled retraining or production inference, measure and document compute demand and available energy/resource indicators; establish a baseline; reassess when model size, training frequency, traffic volume, or infrastructure changes; and use lower-resource configurations when feasible without weakening required safeguards.</w:t>
            </w:r>
          </w:p>
        </w:tc>
        <w:tc>
          <w:tcPr>
            <w:tcW w:type="dxa" w:w="1584"/>
            <w:vAlign w:val="center"/>
            <w:shd w:fill="EEF4F8"/>
          </w:tcPr>
          <w:p>
            <w:pPr>
              <w:spacing w:after="0"/>
            </w:pPr>
            <w:r>
              <w:rPr>
                <w:sz w:val="18"/>
              </w:rPr>
              <w:t>ENV-01</w:t>
            </w:r>
          </w:p>
        </w:tc>
      </w:tr>
    </w:tbl>
    <w:p>
      <w:pPr>
        <w:pStyle w:val="Heading1"/>
      </w:pPr>
      <w:r>
        <w:t>4. Implementation Plan</w:t>
      </w:r>
    </w:p>
    <w:p>
      <w:pPr>
        <w:pStyle w:val="Heading2"/>
      </w:pPr>
      <w:r>
        <w:t>4.1 Technical Implementation</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blHeader w:val="true"/>
        </w:trPr>
        <w:tc>
          <w:tcPr>
            <w:tcW w:type="dxa" w:w="2232"/>
            <w:vAlign w:val="center"/>
            <w:shd w:fill="17365D"/>
          </w:tcPr>
          <w:p>
            <w:pPr>
              <w:spacing w:after="0" w:before="0"/>
            </w:pPr>
            <w:r>
              <w:rPr>
                <w:rFonts w:ascii="Aptos" w:hAnsi="Aptos"/>
                <w:b/>
                <w:color w:val="FFFFFF"/>
                <w:sz w:val="17"/>
              </w:rPr>
            </w:r>
            <w:r>
              <w:rPr>
                <w:rFonts w:ascii="Aptos" w:hAnsi="Aptos"/>
                <w:b/>
                <w:color w:val="FFFFFF"/>
                <w:sz w:val="17"/>
              </w:rPr>
              <w:t>Phase</w:t>
            </w:r>
          </w:p>
        </w:tc>
        <w:tc>
          <w:tcPr>
            <w:tcW w:type="dxa" w:w="7848"/>
            <w:vAlign w:val="center"/>
            <w:shd w:fill="17365D"/>
          </w:tcPr>
          <w:p>
            <w:pPr>
              <w:spacing w:after="0" w:before="0"/>
            </w:pPr>
            <w:r>
              <w:rPr>
                <w:rFonts w:ascii="Aptos" w:hAnsi="Aptos"/>
                <w:b/>
                <w:color w:val="FFFFFF"/>
                <w:sz w:val="17"/>
              </w:rPr>
            </w:r>
            <w:r>
              <w:rPr>
                <w:rFonts w:ascii="Aptos" w:hAnsi="Aptos"/>
                <w:b/>
                <w:color w:val="FFFFFF"/>
                <w:sz w:val="17"/>
              </w:rPr>
              <w:t>Technical Action</w:t>
            </w:r>
          </w:p>
        </w:tc>
        <w:tc>
          <w:tcPr>
            <w:tcW w:type="dxa" w:w="1944"/>
            <w:vAlign w:val="center"/>
            <w:shd w:fill="17365D"/>
          </w:tcPr>
          <w:p>
            <w:pPr>
              <w:spacing w:after="0" w:before="0"/>
            </w:pPr>
            <w:r>
              <w:rPr>
                <w:rFonts w:ascii="Aptos" w:hAnsi="Aptos"/>
                <w:b/>
                <w:color w:val="FFFFFF"/>
                <w:sz w:val="17"/>
              </w:rPr>
            </w:r>
            <w:r>
              <w:rPr>
                <w:rFonts w:ascii="Aptos" w:hAnsi="Aptos"/>
                <w:b/>
                <w:color w:val="FFFFFF"/>
                <w:sz w:val="17"/>
              </w:rPr>
              <w:t>Timing</w:t>
            </w:r>
          </w:p>
        </w:tc>
      </w:tr>
      <w:tr>
        <w:trPr>
          <w:cantSplit/>
        </w:trPr>
        <w:tc>
          <w:tcPr>
            <w:tcW w:type="dxa" w:w="2232"/>
            <w:vAlign w:val="center"/>
          </w:tcPr>
          <w:p>
            <w:pPr>
              <w:spacing w:after="0" w:before="0"/>
            </w:pPr>
            <w:r>
              <w:rPr>
                <w:rFonts w:ascii="Aptos" w:hAnsi="Aptos"/>
                <w:sz w:val="17"/>
              </w:rPr>
            </w:r>
            <w:r>
              <w:rPr>
                <w:rFonts w:ascii="Aptos" w:hAnsi="Aptos"/>
                <w:b w:val="0"/>
                <w:sz w:val="17"/>
              </w:rPr>
              <w:t>T1 - Baseline preservation</w:t>
            </w:r>
          </w:p>
        </w:tc>
        <w:tc>
          <w:tcPr>
            <w:tcW w:type="dxa" w:w="7848"/>
            <w:vAlign w:val="center"/>
          </w:tcPr>
          <w:p>
            <w:pPr>
              <w:spacing w:after="0" w:before="0"/>
            </w:pPr>
            <w:r>
              <w:rPr>
                <w:rFonts w:ascii="Aptos" w:hAnsi="Aptos"/>
                <w:sz w:val="17"/>
              </w:rPr>
            </w:r>
            <w:r>
              <w:rPr>
                <w:rFonts w:ascii="Aptos" w:hAnsi="Aptos"/>
                <w:b w:val="0"/>
                <w:sz w:val="17"/>
              </w:rPr>
              <w:t>Preserve the current model, frozen seed-42 evidence, robustness results, and evidence manifest as the pre-mitigation baseline.</w:t>
            </w:r>
          </w:p>
        </w:tc>
        <w:tc>
          <w:tcPr>
            <w:tcW w:type="dxa" w:w="1944"/>
            <w:vAlign w:val="center"/>
          </w:tcPr>
          <w:p>
            <w:pPr>
              <w:spacing w:after="0" w:before="0"/>
            </w:pPr>
            <w:r>
              <w:rPr>
                <w:rFonts w:ascii="Aptos" w:hAnsi="Aptos"/>
                <w:sz w:val="17"/>
              </w:rPr>
            </w:r>
            <w:r>
              <w:rPr>
                <w:rFonts w:ascii="Aptos" w:hAnsi="Aptos"/>
                <w:b w:val="0"/>
                <w:sz w:val="17"/>
              </w:rPr>
              <w:t>Immediate</w:t>
            </w:r>
          </w:p>
        </w:tc>
      </w:tr>
      <w:tr>
        <w:trPr>
          <w:cantSplit/>
        </w:trPr>
        <w:tc>
          <w:tcPr>
            <w:tcW w:type="dxa" w:w="2232"/>
            <w:vAlign w:val="center"/>
            <w:shd w:fill="EEF4F8"/>
          </w:tcPr>
          <w:p>
            <w:pPr>
              <w:spacing w:after="0" w:before="0"/>
            </w:pPr>
            <w:r>
              <w:rPr>
                <w:rFonts w:ascii="Aptos" w:hAnsi="Aptos"/>
                <w:sz w:val="17"/>
              </w:rPr>
            </w:r>
            <w:r>
              <w:rPr>
                <w:rFonts w:ascii="Aptos" w:hAnsi="Aptos"/>
                <w:b w:val="0"/>
                <w:sz w:val="17"/>
              </w:rPr>
              <w:t>T2 - Data repair</w:t>
            </w:r>
          </w:p>
        </w:tc>
        <w:tc>
          <w:tcPr>
            <w:tcW w:type="dxa" w:w="7848"/>
            <w:vAlign w:val="center"/>
            <w:shd w:fill="EEF4F8"/>
          </w:tcPr>
          <w:p>
            <w:pPr>
              <w:spacing w:after="0" w:before="0"/>
            </w:pPr>
            <w:r>
              <w:rPr>
                <w:rFonts w:ascii="Aptos" w:hAnsi="Aptos"/>
                <w:sz w:val="17"/>
              </w:rPr>
            </w:r>
            <w:r>
              <w:rPr>
                <w:rFonts w:ascii="Aptos" w:hAnsi="Aptos"/>
                <w:b w:val="0"/>
                <w:sz w:val="17"/>
              </w:rPr>
              <w:t>Audit the 308-example fine-tuning dataset, rebalance role/gender associations, add counter-stereotypical examples, and remove unsupported hiring-selection patterns.</w:t>
            </w:r>
          </w:p>
        </w:tc>
        <w:tc>
          <w:tcPr>
            <w:tcW w:type="dxa" w:w="1944"/>
            <w:vAlign w:val="center"/>
            <w:shd w:fill="EEF4F8"/>
          </w:tcPr>
          <w:p>
            <w:pPr>
              <w:spacing w:after="0" w:before="0"/>
            </w:pPr>
            <w:r>
              <w:rPr>
                <w:rFonts w:ascii="Aptos" w:hAnsi="Aptos"/>
                <w:sz w:val="17"/>
              </w:rPr>
            </w:r>
            <w:r>
              <w:rPr>
                <w:rFonts w:ascii="Aptos" w:hAnsi="Aptos"/>
                <w:b w:val="0"/>
                <w:sz w:val="17"/>
              </w:rPr>
              <w:t>Before retraining</w:t>
            </w:r>
          </w:p>
        </w:tc>
      </w:tr>
      <w:tr>
        <w:trPr>
          <w:cantSplit/>
        </w:trPr>
        <w:tc>
          <w:tcPr>
            <w:tcW w:type="dxa" w:w="2232"/>
            <w:vAlign w:val="center"/>
          </w:tcPr>
          <w:p>
            <w:pPr>
              <w:spacing w:after="0" w:before="0"/>
            </w:pPr>
            <w:r>
              <w:rPr>
                <w:rFonts w:ascii="Aptos" w:hAnsi="Aptos"/>
                <w:sz w:val="17"/>
              </w:rPr>
            </w:r>
            <w:r>
              <w:rPr>
                <w:rFonts w:ascii="Aptos" w:hAnsi="Aptos"/>
                <w:b w:val="0"/>
                <w:sz w:val="17"/>
              </w:rPr>
              <w:t>T3 - Controlled retraining/model replacement</w:t>
            </w:r>
          </w:p>
        </w:tc>
        <w:tc>
          <w:tcPr>
            <w:tcW w:type="dxa" w:w="7848"/>
            <w:vAlign w:val="center"/>
          </w:tcPr>
          <w:p>
            <w:pPr>
              <w:spacing w:after="0" w:before="0"/>
            </w:pPr>
            <w:r>
              <w:rPr>
                <w:rFonts w:ascii="Aptos" w:hAnsi="Aptos"/>
                <w:sz w:val="17"/>
              </w:rPr>
            </w:r>
            <w:r>
              <w:rPr>
                <w:rFonts w:ascii="Aptos" w:hAnsi="Aptos"/>
                <w:b w:val="0"/>
                <w:sz w:val="17"/>
              </w:rPr>
              <w:t>Train a remediated checkpoint or select a replacement model. Version the model and training data used.</w:t>
            </w:r>
          </w:p>
        </w:tc>
        <w:tc>
          <w:tcPr>
            <w:tcW w:type="dxa" w:w="1944"/>
            <w:vAlign w:val="center"/>
          </w:tcPr>
          <w:p>
            <w:pPr>
              <w:spacing w:after="0" w:before="0"/>
            </w:pPr>
            <w:r>
              <w:rPr>
                <w:rFonts w:ascii="Aptos" w:hAnsi="Aptos"/>
                <w:sz w:val="17"/>
              </w:rPr>
            </w:r>
            <w:r>
              <w:rPr>
                <w:rFonts w:ascii="Aptos" w:hAnsi="Aptos"/>
                <w:b w:val="0"/>
                <w:sz w:val="17"/>
              </w:rPr>
              <w:t>Before any release consideration</w:t>
            </w:r>
          </w:p>
        </w:tc>
      </w:tr>
      <w:tr>
        <w:trPr>
          <w:cantSplit/>
        </w:trPr>
        <w:tc>
          <w:tcPr>
            <w:tcW w:type="dxa" w:w="2232"/>
            <w:vAlign w:val="center"/>
            <w:shd w:fill="EEF4F8"/>
          </w:tcPr>
          <w:p>
            <w:pPr>
              <w:spacing w:after="0" w:before="0"/>
            </w:pPr>
            <w:r>
              <w:rPr>
                <w:rFonts w:ascii="Aptos" w:hAnsi="Aptos"/>
                <w:sz w:val="17"/>
              </w:rPr>
            </w:r>
            <w:r>
              <w:rPr>
                <w:rFonts w:ascii="Aptos" w:hAnsi="Aptos"/>
                <w:b w:val="0"/>
                <w:sz w:val="17"/>
              </w:rPr>
              <w:t>T4 - Output-control layer</w:t>
            </w:r>
          </w:p>
        </w:tc>
        <w:tc>
          <w:tcPr>
            <w:tcW w:type="dxa" w:w="7848"/>
            <w:vAlign w:val="center"/>
            <w:shd w:fill="EEF4F8"/>
          </w:tcPr>
          <w:p>
            <w:pPr>
              <w:spacing w:after="0" w:before="0"/>
            </w:pPr>
            <w:r>
              <w:rPr>
                <w:rFonts w:ascii="Aptos" w:hAnsi="Aptos"/>
                <w:sz w:val="17"/>
              </w:rPr>
            </w:r>
            <w:r>
              <w:rPr>
                <w:rFonts w:ascii="Aptos" w:hAnsi="Aptos"/>
                <w:b w:val="0"/>
                <w:sz w:val="17"/>
              </w:rPr>
              <w:t>Implement gender-consistency, attribution/URL, output-format, and prohibited-use checks around generation.</w:t>
            </w:r>
          </w:p>
        </w:tc>
        <w:tc>
          <w:tcPr>
            <w:tcW w:type="dxa" w:w="1944"/>
            <w:vAlign w:val="center"/>
            <w:shd w:fill="EEF4F8"/>
          </w:tcPr>
          <w:p>
            <w:pPr>
              <w:spacing w:after="0" w:before="0"/>
            </w:pPr>
            <w:r>
              <w:rPr>
                <w:rFonts w:ascii="Aptos" w:hAnsi="Aptos"/>
                <w:sz w:val="17"/>
              </w:rPr>
            </w:r>
            <w:r>
              <w:rPr>
                <w:rFonts w:ascii="Aptos" w:hAnsi="Aptos"/>
                <w:b w:val="0"/>
                <w:sz w:val="17"/>
              </w:rPr>
              <w:t>Before validation</w:t>
            </w:r>
          </w:p>
        </w:tc>
      </w:tr>
      <w:tr>
        <w:trPr>
          <w:cantSplit/>
        </w:trPr>
        <w:tc>
          <w:tcPr>
            <w:tcW w:type="dxa" w:w="2232"/>
            <w:vAlign w:val="center"/>
          </w:tcPr>
          <w:p>
            <w:pPr>
              <w:spacing w:after="0" w:before="0"/>
            </w:pPr>
            <w:r>
              <w:rPr>
                <w:rFonts w:ascii="Aptos" w:hAnsi="Aptos"/>
                <w:sz w:val="17"/>
              </w:rPr>
            </w:r>
            <w:r>
              <w:rPr>
                <w:rFonts w:ascii="Aptos" w:hAnsi="Aptos"/>
                <w:b w:val="0"/>
                <w:sz w:val="17"/>
              </w:rPr>
              <w:t>T5 - Expanded evaluation harness</w:t>
            </w:r>
          </w:p>
        </w:tc>
        <w:tc>
          <w:tcPr>
            <w:tcW w:type="dxa" w:w="7848"/>
            <w:vAlign w:val="center"/>
          </w:tcPr>
          <w:p>
            <w:pPr>
              <w:spacing w:after="0" w:before="0"/>
            </w:pPr>
            <w:r>
              <w:rPr>
                <w:rFonts w:ascii="Aptos" w:hAnsi="Aptos"/>
                <w:sz w:val="17"/>
              </w:rPr>
            </w:r>
            <w:r>
              <w:rPr>
                <w:rFonts w:ascii="Aptos" w:hAnsi="Aptos"/>
                <w:b w:val="0"/>
                <w:sz w:val="17"/>
              </w:rPr>
              <w:t>Run a larger prompt matrix, counterfactual tests, multi-seed evaluation, and lexicon/semantic review.</w:t>
            </w:r>
          </w:p>
        </w:tc>
        <w:tc>
          <w:tcPr>
            <w:tcW w:type="dxa" w:w="1944"/>
            <w:vAlign w:val="center"/>
          </w:tcPr>
          <w:p>
            <w:pPr>
              <w:spacing w:after="0" w:before="0"/>
            </w:pPr>
            <w:r>
              <w:rPr>
                <w:rFonts w:ascii="Aptos" w:hAnsi="Aptos"/>
                <w:sz w:val="17"/>
              </w:rPr>
            </w:r>
            <w:r>
              <w:rPr>
                <w:rFonts w:ascii="Aptos" w:hAnsi="Aptos"/>
                <w:b w:val="0"/>
                <w:sz w:val="17"/>
              </w:rPr>
              <w:t>Before release gate</w:t>
            </w:r>
          </w:p>
        </w:tc>
      </w:tr>
      <w:tr>
        <w:trPr>
          <w:cantSplit/>
        </w:trPr>
        <w:tc>
          <w:tcPr>
            <w:tcW w:type="dxa" w:w="2232"/>
            <w:vAlign w:val="center"/>
            <w:shd w:fill="EEF4F8"/>
          </w:tcPr>
          <w:p>
            <w:pPr>
              <w:spacing w:after="0" w:before="0"/>
            </w:pPr>
            <w:r>
              <w:rPr>
                <w:rFonts w:ascii="Aptos" w:hAnsi="Aptos"/>
                <w:sz w:val="17"/>
              </w:rPr>
            </w:r>
            <w:r>
              <w:rPr>
                <w:rFonts w:ascii="Aptos" w:hAnsi="Aptos"/>
                <w:b w:val="0"/>
                <w:sz w:val="17"/>
              </w:rPr>
              <w:t>T6 - Security/privacy validation</w:t>
            </w:r>
          </w:p>
        </w:tc>
        <w:tc>
          <w:tcPr>
            <w:tcW w:type="dxa" w:w="7848"/>
            <w:vAlign w:val="center"/>
            <w:shd w:fill="EEF4F8"/>
          </w:tcPr>
          <w:p>
            <w:pPr>
              <w:spacing w:after="0" w:before="0"/>
            </w:pPr>
            <w:r>
              <w:rPr>
                <w:rFonts w:ascii="Aptos" w:hAnsi="Aptos"/>
                <w:sz w:val="17"/>
              </w:rPr>
            </w:r>
            <w:r>
              <w:rPr>
                <w:rFonts w:ascii="Aptos" w:hAnsi="Aptos"/>
                <w:b w:val="0"/>
                <w:sz w:val="17"/>
              </w:rPr>
              <w:t>Test prompt injection and downstream trust boundaries; perform privacy assessment if real personal data will be processed.</w:t>
            </w:r>
          </w:p>
        </w:tc>
        <w:tc>
          <w:tcPr>
            <w:tcW w:type="dxa" w:w="1944"/>
            <w:vAlign w:val="center"/>
            <w:shd w:fill="EEF4F8"/>
          </w:tcPr>
          <w:p>
            <w:pPr>
              <w:spacing w:after="0" w:before="0"/>
            </w:pPr>
            <w:r>
              <w:rPr>
                <w:rFonts w:ascii="Aptos" w:hAnsi="Aptos"/>
                <w:sz w:val="17"/>
              </w:rPr>
            </w:r>
            <w:r>
              <w:rPr>
                <w:rFonts w:ascii="Aptos" w:hAnsi="Aptos"/>
                <w:b w:val="0"/>
                <w:sz w:val="17"/>
              </w:rPr>
              <w:t>Before production</w:t>
            </w:r>
          </w:p>
        </w:tc>
      </w:tr>
      <w:tr>
        <w:trPr>
          <w:cantSplit/>
        </w:trPr>
        <w:tc>
          <w:tcPr>
            <w:tcW w:type="dxa" w:w="2232"/>
            <w:vAlign w:val="center"/>
          </w:tcPr>
          <w:p>
            <w:pPr>
              <w:spacing w:after="0" w:before="0"/>
            </w:pPr>
            <w:r>
              <w:rPr>
                <w:rFonts w:ascii="Aptos" w:hAnsi="Aptos"/>
                <w:sz w:val="17"/>
              </w:rPr>
            </w:r>
            <w:r>
              <w:rPr>
                <w:rFonts w:ascii="Aptos" w:hAnsi="Aptos"/>
                <w:b w:val="0"/>
                <w:sz w:val="17"/>
              </w:rPr>
              <w:t>T7 - Release gate</w:t>
            </w:r>
          </w:p>
        </w:tc>
        <w:tc>
          <w:tcPr>
            <w:tcW w:type="dxa" w:w="7848"/>
            <w:vAlign w:val="center"/>
          </w:tcPr>
          <w:p>
            <w:pPr>
              <w:spacing w:after="0" w:before="0"/>
            </w:pPr>
            <w:r>
              <w:rPr>
                <w:rFonts w:ascii="Aptos" w:hAnsi="Aptos"/>
                <w:sz w:val="17"/>
              </w:rPr>
            </w:r>
            <w:r>
              <w:rPr>
                <w:rFonts w:ascii="Aptos" w:hAnsi="Aptos"/>
                <w:b w:val="0"/>
                <w:sz w:val="17"/>
              </w:rPr>
              <w:t>Require all success criteria in Section 6 plus governance approval before deployment.</w:t>
            </w:r>
          </w:p>
        </w:tc>
        <w:tc>
          <w:tcPr>
            <w:tcW w:type="dxa" w:w="1944"/>
            <w:vAlign w:val="center"/>
          </w:tcPr>
          <w:p>
            <w:pPr>
              <w:spacing w:after="0" w:before="0"/>
            </w:pPr>
            <w:r>
              <w:rPr>
                <w:rFonts w:ascii="Aptos" w:hAnsi="Aptos"/>
                <w:sz w:val="17"/>
              </w:rPr>
            </w:r>
            <w:r>
              <w:rPr>
                <w:rFonts w:ascii="Aptos" w:hAnsi="Aptos"/>
                <w:b w:val="0"/>
                <w:sz w:val="17"/>
              </w:rPr>
              <w:t>Final pre-release</w:t>
            </w:r>
          </w:p>
        </w:tc>
      </w:tr>
    </w:tbl>
    <w:p>
      <w:pPr>
        <w:pStyle w:val="Heading2"/>
      </w:pPr>
      <w:r>
        <w:t>4.2 Operational Implementation</w:t>
      </w:r>
    </w:p>
    <w:tbl>
      <w:tblPr>
        <w:tblStyle w:val="TableGrid"/>
        <w:tblW w:type="auto" w:w="0"/>
        <w:jc w:val="center"/>
        <w:tblLayout w:type="fixed"/>
        <w:tblLook w:firstColumn="1" w:firstRow="1" w:lastColumn="0" w:lastRow="0" w:noHBand="0" w:noVBand="1" w:val="04A0"/>
      </w:tblPr>
      <w:tblGrid>
        <w:gridCol w:w="5112"/>
        <w:gridCol w:w="5112"/>
      </w:tblGrid>
      <w:tr>
        <w:trPr>
          <w:cantSplit/>
          <w:tblHeader w:val="true"/>
        </w:trPr>
        <w:tc>
          <w:tcPr>
            <w:tcW w:type="dxa" w:w="2880"/>
            <w:vAlign w:val="center"/>
            <w:shd w:fill="17365D"/>
          </w:tcPr>
          <w:p>
            <w:pPr>
              <w:spacing w:after="0" w:before="0"/>
            </w:pPr>
            <w:r>
              <w:rPr>
                <w:rFonts w:ascii="Aptos" w:hAnsi="Aptos"/>
                <w:b/>
                <w:color w:val="FFFFFF"/>
                <w:sz w:val="17"/>
              </w:rPr>
            </w:r>
            <w:r>
              <w:rPr>
                <w:rFonts w:ascii="Aptos" w:hAnsi="Aptos"/>
                <w:b/>
                <w:color w:val="FFFFFF"/>
                <w:sz w:val="17"/>
              </w:rPr>
              <w:t>Role</w:t>
            </w:r>
          </w:p>
        </w:tc>
        <w:tc>
          <w:tcPr>
            <w:tcW w:type="dxa" w:w="9144"/>
            <w:vAlign w:val="center"/>
            <w:shd w:fill="17365D"/>
          </w:tcPr>
          <w:p>
            <w:pPr>
              <w:spacing w:after="0" w:before="0"/>
            </w:pPr>
            <w:r>
              <w:rPr>
                <w:rFonts w:ascii="Aptos" w:hAnsi="Aptos"/>
                <w:b/>
                <w:color w:val="FFFFFF"/>
                <w:sz w:val="17"/>
              </w:rPr>
            </w:r>
            <w:r>
              <w:rPr>
                <w:rFonts w:ascii="Aptos" w:hAnsi="Aptos"/>
                <w:b/>
                <w:color w:val="FFFFFF"/>
                <w:sz w:val="17"/>
              </w:rPr>
              <w:t>Operational Responsibility</w:t>
            </w:r>
          </w:p>
        </w:tc>
      </w:tr>
      <w:tr>
        <w:trPr>
          <w:cantSplit/>
        </w:trPr>
        <w:tc>
          <w:tcPr>
            <w:tcW w:type="dxa" w:w="2880"/>
            <w:vAlign w:val="center"/>
          </w:tcPr>
          <w:p>
            <w:pPr>
              <w:spacing w:after="0" w:before="0"/>
            </w:pPr>
            <w:r>
              <w:rPr>
                <w:rFonts w:ascii="Aptos" w:hAnsi="Aptos"/>
                <w:sz w:val="17"/>
              </w:rPr>
            </w:r>
            <w:r>
              <w:rPr>
                <w:rFonts w:ascii="Aptos" w:hAnsi="Aptos"/>
                <w:b w:val="0"/>
                <w:sz w:val="17"/>
              </w:rPr>
              <w:t>Responsible AI / Ethics</w:t>
            </w:r>
          </w:p>
        </w:tc>
        <w:tc>
          <w:tcPr>
            <w:tcW w:type="dxa" w:w="9144"/>
            <w:vAlign w:val="center"/>
          </w:tcPr>
          <w:p>
            <w:pPr>
              <w:spacing w:after="0" w:before="0"/>
            </w:pPr>
            <w:r>
              <w:rPr>
                <w:rFonts w:ascii="Aptos" w:hAnsi="Aptos"/>
                <w:sz w:val="17"/>
              </w:rPr>
            </w:r>
            <w:r>
              <w:rPr>
                <w:rFonts w:ascii="Aptos" w:hAnsi="Aptos"/>
                <w:b w:val="0"/>
                <w:sz w:val="17"/>
              </w:rPr>
              <w:t>Own fairness acceptance criteria, review audit evidence, approve or reject release from an ethical-risk perspective.</w:t>
            </w:r>
          </w:p>
        </w:tc>
      </w:tr>
      <w:tr>
        <w:trPr>
          <w:cantSplit/>
        </w:trPr>
        <w:tc>
          <w:tcPr>
            <w:tcW w:type="dxa" w:w="2880"/>
            <w:vAlign w:val="center"/>
            <w:shd w:fill="EEF4F8"/>
          </w:tcPr>
          <w:p>
            <w:pPr>
              <w:spacing w:after="0" w:before="0"/>
            </w:pPr>
            <w:r>
              <w:rPr>
                <w:rFonts w:ascii="Aptos" w:hAnsi="Aptos"/>
                <w:sz w:val="17"/>
              </w:rPr>
            </w:r>
            <w:r>
              <w:rPr>
                <w:rFonts w:ascii="Aptos" w:hAnsi="Aptos"/>
                <w:b w:val="0"/>
                <w:sz w:val="17"/>
              </w:rPr>
              <w:t>Legal / Compliance</w:t>
            </w:r>
          </w:p>
        </w:tc>
        <w:tc>
          <w:tcPr>
            <w:tcW w:type="dxa" w:w="9144"/>
            <w:vAlign w:val="center"/>
            <w:shd w:fill="EEF4F8"/>
          </w:tcPr>
          <w:p>
            <w:pPr>
              <w:spacing w:after="0" w:before="0"/>
            </w:pPr>
            <w:r>
              <w:rPr>
                <w:rFonts w:ascii="Aptos" w:hAnsi="Aptos"/>
                <w:sz w:val="17"/>
              </w:rPr>
            </w:r>
            <w:r>
              <w:rPr>
                <w:rFonts w:ascii="Aptos" w:hAnsi="Aptos"/>
                <w:b w:val="0"/>
                <w:sz w:val="17"/>
              </w:rPr>
              <w:t>Determine jurisdiction-specific requirements and approve any employment-related use case before deployment.</w:t>
            </w:r>
          </w:p>
        </w:tc>
      </w:tr>
      <w:tr>
        <w:trPr>
          <w:cantSplit/>
        </w:trPr>
        <w:tc>
          <w:tcPr>
            <w:tcW w:type="dxa" w:w="2880"/>
            <w:vAlign w:val="center"/>
          </w:tcPr>
          <w:p>
            <w:pPr>
              <w:spacing w:after="0" w:before="0"/>
            </w:pPr>
            <w:r>
              <w:rPr>
                <w:rFonts w:ascii="Aptos" w:hAnsi="Aptos"/>
                <w:sz w:val="17"/>
              </w:rPr>
            </w:r>
            <w:r>
              <w:rPr>
                <w:rFonts w:ascii="Aptos" w:hAnsi="Aptos"/>
                <w:b w:val="0"/>
                <w:sz w:val="17"/>
              </w:rPr>
              <w:t>Model / Engineering Team</w:t>
            </w:r>
          </w:p>
        </w:tc>
        <w:tc>
          <w:tcPr>
            <w:tcW w:type="dxa" w:w="9144"/>
            <w:vAlign w:val="center"/>
          </w:tcPr>
          <w:p>
            <w:pPr>
              <w:spacing w:after="0" w:before="0"/>
            </w:pPr>
            <w:r>
              <w:rPr>
                <w:rFonts w:ascii="Aptos" w:hAnsi="Aptos"/>
                <w:sz w:val="17"/>
              </w:rPr>
            </w:r>
            <w:r>
              <w:rPr>
                <w:rFonts w:ascii="Aptos" w:hAnsi="Aptos"/>
                <w:b w:val="0"/>
                <w:sz w:val="17"/>
              </w:rPr>
              <w:t>Implement data/model remediation, technical safeguards, logging, regression tests, and version control.</w:t>
            </w:r>
          </w:p>
        </w:tc>
      </w:tr>
      <w:tr>
        <w:trPr>
          <w:cantSplit/>
        </w:trPr>
        <w:tc>
          <w:tcPr>
            <w:tcW w:type="dxa" w:w="2880"/>
            <w:vAlign w:val="center"/>
            <w:shd w:fill="EEF4F8"/>
          </w:tcPr>
          <w:p>
            <w:pPr>
              <w:spacing w:after="0" w:before="0"/>
            </w:pPr>
            <w:r>
              <w:rPr>
                <w:rFonts w:ascii="Aptos" w:hAnsi="Aptos"/>
                <w:sz w:val="17"/>
              </w:rPr>
            </w:r>
            <w:r>
              <w:rPr>
                <w:rFonts w:ascii="Aptos" w:hAnsi="Aptos"/>
                <w:b w:val="0"/>
                <w:sz w:val="17"/>
              </w:rPr>
              <w:t>Security / Privacy</w:t>
            </w:r>
          </w:p>
        </w:tc>
        <w:tc>
          <w:tcPr>
            <w:tcW w:type="dxa" w:w="9144"/>
            <w:vAlign w:val="center"/>
            <w:shd w:fill="EEF4F8"/>
          </w:tcPr>
          <w:p>
            <w:pPr>
              <w:spacing w:after="0" w:before="0"/>
            </w:pPr>
            <w:r>
              <w:rPr>
                <w:rFonts w:ascii="Aptos" w:hAnsi="Aptos"/>
                <w:sz w:val="17"/>
              </w:rPr>
            </w:r>
            <w:r>
              <w:rPr>
                <w:rFonts w:ascii="Aptos" w:hAnsi="Aptos"/>
                <w:b w:val="0"/>
                <w:sz w:val="17"/>
              </w:rPr>
              <w:t>Assess system-level threats, prompt injection, data flows, personal-data handling, access, retention, and incident response.</w:t>
            </w:r>
          </w:p>
        </w:tc>
      </w:tr>
      <w:tr>
        <w:trPr>
          <w:cantSplit/>
        </w:trPr>
        <w:tc>
          <w:tcPr>
            <w:tcW w:type="dxa" w:w="2880"/>
            <w:vAlign w:val="center"/>
          </w:tcPr>
          <w:p>
            <w:pPr>
              <w:spacing w:after="0" w:before="0"/>
            </w:pPr>
            <w:r>
              <w:rPr>
                <w:rFonts w:ascii="Aptos" w:hAnsi="Aptos"/>
                <w:sz w:val="17"/>
              </w:rPr>
            </w:r>
            <w:r>
              <w:rPr>
                <w:rFonts w:ascii="Aptos" w:hAnsi="Aptos"/>
                <w:b w:val="0"/>
                <w:sz w:val="17"/>
              </w:rPr>
              <w:t>Business / HR Owner</w:t>
            </w:r>
          </w:p>
        </w:tc>
        <w:tc>
          <w:tcPr>
            <w:tcW w:type="dxa" w:w="9144"/>
            <w:vAlign w:val="center"/>
          </w:tcPr>
          <w:p>
            <w:pPr>
              <w:spacing w:after="0" w:before="0"/>
            </w:pPr>
            <w:r>
              <w:rPr>
                <w:rFonts w:ascii="Aptos" w:hAnsi="Aptos"/>
                <w:sz w:val="17"/>
              </w:rPr>
            </w:r>
            <w:r>
              <w:rPr>
                <w:rFonts w:ascii="Aptos" w:hAnsi="Aptos"/>
                <w:b w:val="0"/>
                <w:sz w:val="17"/>
              </w:rPr>
              <w:t>Define legitimate use cases, ensure qualified human review, and prevent generated content from becoming an autonomous personnel action.</w:t>
            </w:r>
          </w:p>
        </w:tc>
      </w:tr>
      <w:tr>
        <w:trPr>
          <w:cantSplit/>
        </w:trPr>
        <w:tc>
          <w:tcPr>
            <w:tcW w:type="dxa" w:w="2880"/>
            <w:vAlign w:val="center"/>
            <w:shd w:fill="EEF4F8"/>
          </w:tcPr>
          <w:p>
            <w:pPr>
              <w:spacing w:after="0" w:before="0"/>
            </w:pPr>
            <w:r>
              <w:rPr>
                <w:rFonts w:ascii="Aptos" w:hAnsi="Aptos"/>
                <w:sz w:val="17"/>
              </w:rPr>
            </w:r>
            <w:r>
              <w:rPr>
                <w:rFonts w:ascii="Aptos" w:hAnsi="Aptos"/>
                <w:b w:val="0"/>
                <w:sz w:val="17"/>
              </w:rPr>
              <w:t>Independent Reviewer</w:t>
            </w:r>
          </w:p>
        </w:tc>
        <w:tc>
          <w:tcPr>
            <w:tcW w:type="dxa" w:w="9144"/>
            <w:vAlign w:val="center"/>
            <w:shd w:fill="EEF4F8"/>
          </w:tcPr>
          <w:p>
            <w:pPr>
              <w:spacing w:after="0" w:before="0"/>
            </w:pPr>
            <w:r>
              <w:rPr>
                <w:rFonts w:ascii="Aptos" w:hAnsi="Aptos"/>
                <w:sz w:val="17"/>
              </w:rPr>
            </w:r>
            <w:r>
              <w:rPr>
                <w:rFonts w:ascii="Aptos" w:hAnsi="Aptos"/>
                <w:b w:val="0"/>
                <w:sz w:val="17"/>
              </w:rPr>
              <w:t>Perform periodic independent re-audit and challenge release-readiness evidence.</w:t>
            </w:r>
          </w:p>
        </w:tc>
      </w:tr>
    </w:tbl>
    <w:p>
      <w:pPr>
        <w:pStyle w:val="Heading1"/>
      </w:pPr>
      <w:r>
        <w:t>5. Residual Risk Assessment</w:t>
      </w:r>
    </w:p>
    <w:p>
      <w:r>
        <w:t>The following residual levels assume that the mitigation controls are implemented and independently validated. They are not the residual risk of the current unremediated model. The current model remains unsuitable for production employment use.</w:t>
      </w:r>
    </w:p>
    <w:tbl>
      <w:tblPr>
        <w:tblStyle w:val="TableGrid"/>
        <w:tblW w:type="auto" w:w="0"/>
        <w:jc w:val="center"/>
        <w:tblLayout w:type="fixed"/>
        <w:tblLook w:firstColumn="1" w:firstRow="1" w:lastColumn="0" w:lastRow="0" w:noHBand="0" w:noVBand="1" w:val="04A0"/>
      </w:tblPr>
      <w:tblGrid>
        <w:gridCol w:w="3408"/>
        <w:gridCol w:w="3408"/>
        <w:gridCol w:w="3408"/>
      </w:tblGrid>
      <w:tr>
        <w:trPr>
          <w:cantSplit/>
          <w:tblHeader w:val="true"/>
        </w:trPr>
        <w:tc>
          <w:tcPr>
            <w:tcW w:type="dxa" w:w="3096"/>
            <w:vAlign w:val="center"/>
            <w:shd w:fill="17365D"/>
          </w:tcPr>
          <w:p>
            <w:pPr>
              <w:spacing w:after="0" w:before="0"/>
            </w:pPr>
            <w:r>
              <w:rPr>
                <w:rFonts w:ascii="Aptos" w:hAnsi="Aptos"/>
                <w:b/>
                <w:color w:val="FFFFFF"/>
                <w:sz w:val="17"/>
              </w:rPr>
            </w:r>
            <w:r>
              <w:rPr>
                <w:rFonts w:ascii="Aptos" w:hAnsi="Aptos"/>
                <w:b/>
                <w:color w:val="FFFFFF"/>
                <w:sz w:val="17"/>
              </w:rPr>
              <w:t>Risk</w:t>
            </w:r>
          </w:p>
        </w:tc>
        <w:tc>
          <w:tcPr>
            <w:tcW w:type="dxa" w:w="1800"/>
            <w:vAlign w:val="center"/>
            <w:shd w:fill="17365D"/>
          </w:tcPr>
          <w:p>
            <w:pPr>
              <w:spacing w:after="0" w:before="0"/>
            </w:pPr>
            <w:r>
              <w:rPr>
                <w:rFonts w:ascii="Aptos" w:hAnsi="Aptos"/>
                <w:b/>
                <w:color w:val="FFFFFF"/>
                <w:sz w:val="17"/>
              </w:rPr>
            </w:r>
            <w:r>
              <w:rPr>
                <w:rFonts w:ascii="Aptos" w:hAnsi="Aptos"/>
                <w:b/>
                <w:color w:val="FFFFFF"/>
                <w:sz w:val="17"/>
              </w:rPr>
              <w:t>Remaining Risk Level</w:t>
            </w:r>
          </w:p>
        </w:tc>
        <w:tc>
          <w:tcPr>
            <w:tcW w:type="dxa" w:w="7200"/>
            <w:vAlign w:val="center"/>
            <w:shd w:fill="17365D"/>
          </w:tcPr>
          <w:p>
            <w:pPr>
              <w:spacing w:after="0" w:before="0"/>
            </w:pPr>
            <w:r>
              <w:rPr>
                <w:rFonts w:ascii="Aptos" w:hAnsi="Aptos"/>
                <w:b/>
                <w:color w:val="FFFFFF"/>
                <w:sz w:val="17"/>
              </w:rPr>
            </w:r>
            <w:r>
              <w:rPr>
                <w:rFonts w:ascii="Aptos" w:hAnsi="Aptos"/>
                <w:b/>
                <w:color w:val="FFFFFF"/>
                <w:sz w:val="17"/>
              </w:rPr>
              <w:t>Rationale</w:t>
            </w:r>
          </w:p>
        </w:tc>
      </w:tr>
      <w:tr>
        <w:trPr>
          <w:cantSplit/>
        </w:trPr>
        <w:tc>
          <w:tcPr>
            <w:tcW w:type="dxa" w:w="3096"/>
            <w:vAlign w:val="center"/>
          </w:tcPr>
          <w:p>
            <w:pPr>
              <w:spacing w:after="0" w:before="0"/>
            </w:pPr>
            <w:r>
              <w:rPr>
                <w:rFonts w:ascii="Aptos" w:hAnsi="Aptos"/>
                <w:sz w:val="17"/>
              </w:rPr>
            </w:r>
            <w:r>
              <w:rPr>
                <w:rFonts w:ascii="Aptos" w:hAnsi="Aptos"/>
                <w:b w:val="0"/>
                <w:sz w:val="17"/>
              </w:rPr>
              <w:t>Gender bias in neutral roles</w:t>
            </w:r>
          </w:p>
        </w:tc>
        <w:tc>
          <w:tcPr>
            <w:tcW w:type="dxa" w:w="1800"/>
            <w:vAlign w:val="center"/>
          </w:tcPr>
          <w:p>
            <w:pPr>
              <w:spacing w:after="0" w:before="0"/>
            </w:pPr>
            <w:r>
              <w:rPr>
                <w:rFonts w:ascii="Aptos" w:hAnsi="Aptos"/>
                <w:sz w:val="17"/>
              </w:rPr>
            </w:r>
            <w:r>
              <w:rPr>
                <w:rFonts w:ascii="Aptos" w:hAnsi="Aptos"/>
                <w:b/>
                <w:sz w:val="17"/>
              </w:rPr>
              <w:t>Medium</w:t>
            </w:r>
          </w:p>
        </w:tc>
        <w:tc>
          <w:tcPr>
            <w:tcW w:type="dxa" w:w="7200"/>
            <w:vAlign w:val="center"/>
          </w:tcPr>
          <w:p>
            <w:pPr>
              <w:spacing w:after="0" w:before="0"/>
            </w:pPr>
            <w:r>
              <w:rPr>
                <w:rFonts w:ascii="Aptos" w:hAnsi="Aptos"/>
                <w:sz w:val="17"/>
              </w:rPr>
            </w:r>
            <w:r>
              <w:rPr>
                <w:rFonts w:ascii="Aptos" w:hAnsi="Aptos"/>
                <w:b w:val="0"/>
                <w:sz w:val="17"/>
              </w:rPr>
              <w:t>Data repair, retraining, neutral-role controls, and regression testing can reduce the observed stereotype pattern, but generative models remain stochastic and can reintroduce biased associations.</w:t>
            </w:r>
          </w:p>
        </w:tc>
      </w:tr>
      <w:tr>
        <w:trPr>
          <w:cantSplit/>
        </w:trPr>
        <w:tc>
          <w:tcPr>
            <w:tcW w:type="dxa" w:w="3096"/>
            <w:vAlign w:val="center"/>
            <w:shd w:fill="EEF4F8"/>
          </w:tcPr>
          <w:p>
            <w:pPr>
              <w:spacing w:after="0" w:before="0"/>
            </w:pPr>
            <w:r>
              <w:rPr>
                <w:rFonts w:ascii="Aptos" w:hAnsi="Aptos"/>
                <w:sz w:val="17"/>
              </w:rPr>
            </w:r>
            <w:r>
              <w:rPr>
                <w:rFonts w:ascii="Aptos" w:hAnsi="Aptos"/>
                <w:b w:val="0"/>
                <w:sz w:val="17"/>
              </w:rPr>
              <w:t>Misuse in hiring decisions</w:t>
            </w:r>
          </w:p>
        </w:tc>
        <w:tc>
          <w:tcPr>
            <w:tcW w:type="dxa" w:w="1800"/>
            <w:vAlign w:val="center"/>
            <w:shd w:fill="EEF4F8"/>
          </w:tcPr>
          <w:p>
            <w:pPr>
              <w:spacing w:after="0" w:before="0"/>
            </w:pPr>
            <w:r>
              <w:rPr>
                <w:rFonts w:ascii="Aptos" w:hAnsi="Aptos"/>
                <w:sz w:val="17"/>
              </w:rPr>
            </w:r>
            <w:r>
              <w:rPr>
                <w:rFonts w:ascii="Aptos" w:hAnsi="Aptos"/>
                <w:b/>
                <w:sz w:val="17"/>
              </w:rPr>
              <w:t>Medium</w:t>
            </w:r>
          </w:p>
        </w:tc>
        <w:tc>
          <w:tcPr>
            <w:tcW w:type="dxa" w:w="7200"/>
            <w:vAlign w:val="center"/>
            <w:shd w:fill="EEF4F8"/>
          </w:tcPr>
          <w:p>
            <w:pPr>
              <w:spacing w:after="0" w:before="0"/>
            </w:pPr>
            <w:r>
              <w:rPr>
                <w:rFonts w:ascii="Aptos" w:hAnsi="Aptos"/>
                <w:sz w:val="17"/>
              </w:rPr>
            </w:r>
            <w:r>
              <w:rPr>
                <w:rFonts w:ascii="Aptos" w:hAnsi="Aptos"/>
                <w:b w:val="0"/>
                <w:sz w:val="17"/>
              </w:rPr>
              <w:t>Prohibited-use controls and mandatory human decision authority substantially reduce risk, but misuse remains possible if users over-rely on generated recommendations or bypass governance.</w:t>
            </w:r>
          </w:p>
        </w:tc>
      </w:tr>
      <w:tr>
        <w:trPr>
          <w:cantSplit/>
        </w:trPr>
        <w:tc>
          <w:tcPr>
            <w:tcW w:type="dxa" w:w="3096"/>
            <w:vAlign w:val="center"/>
          </w:tcPr>
          <w:p>
            <w:pPr>
              <w:spacing w:after="0" w:before="0"/>
            </w:pPr>
            <w:r>
              <w:rPr>
                <w:rFonts w:ascii="Aptos" w:hAnsi="Aptos"/>
                <w:sz w:val="17"/>
              </w:rPr>
            </w:r>
            <w:r>
              <w:rPr>
                <w:rFonts w:ascii="Aptos" w:hAnsi="Aptos"/>
                <w:b w:val="0"/>
                <w:sz w:val="17"/>
              </w:rPr>
              <w:t>Prompt manipulation / unsafe use</w:t>
            </w:r>
          </w:p>
        </w:tc>
        <w:tc>
          <w:tcPr>
            <w:tcW w:type="dxa" w:w="1800"/>
            <w:vAlign w:val="center"/>
          </w:tcPr>
          <w:p>
            <w:pPr>
              <w:spacing w:after="0" w:before="0"/>
            </w:pPr>
            <w:r>
              <w:rPr>
                <w:rFonts w:ascii="Aptos" w:hAnsi="Aptos"/>
                <w:sz w:val="17"/>
              </w:rPr>
            </w:r>
            <w:r>
              <w:rPr>
                <w:rFonts w:ascii="Aptos" w:hAnsi="Aptos"/>
                <w:b/>
                <w:sz w:val="17"/>
              </w:rPr>
              <w:t>Medium</w:t>
            </w:r>
          </w:p>
        </w:tc>
        <w:tc>
          <w:tcPr>
            <w:tcW w:type="dxa" w:w="7200"/>
            <w:vAlign w:val="center"/>
          </w:tcPr>
          <w:p>
            <w:pPr>
              <w:spacing w:after="0" w:before="0"/>
            </w:pPr>
            <w:r>
              <w:rPr>
                <w:rFonts w:ascii="Aptos" w:hAnsi="Aptos"/>
                <w:sz w:val="17"/>
              </w:rPr>
            </w:r>
            <w:r>
              <w:rPr>
                <w:rFonts w:ascii="Aptos" w:hAnsi="Aptos"/>
                <w:b w:val="0"/>
                <w:sz w:val="17"/>
              </w:rPr>
              <w:t>Prompt restrictions, output validation, and security testing reduce exposure, but adversarial prompting and application-layer attacks cannot be eliminated solely at the model layer.</w:t>
            </w:r>
          </w:p>
        </w:tc>
      </w:tr>
      <w:tr>
        <w:trPr>
          <w:cantSplit/>
        </w:trPr>
        <w:tc>
          <w:tcPr>
            <w:tcW w:type="dxa" w:w="3096"/>
            <w:vAlign w:val="center"/>
            <w:shd w:fill="EEF4F8"/>
          </w:tcPr>
          <w:p>
            <w:pPr>
              <w:spacing w:after="0" w:before="0"/>
            </w:pPr>
            <w:r>
              <w:rPr>
                <w:rFonts w:ascii="Aptos" w:hAnsi="Aptos"/>
                <w:sz w:val="17"/>
              </w:rPr>
            </w:r>
            <w:r>
              <w:rPr>
                <w:rFonts w:ascii="Aptos" w:hAnsi="Aptos"/>
                <w:b w:val="0"/>
                <w:sz w:val="17"/>
              </w:rPr>
              <w:t>Privacy exposure</w:t>
            </w:r>
          </w:p>
        </w:tc>
        <w:tc>
          <w:tcPr>
            <w:tcW w:type="dxa" w:w="1800"/>
            <w:vAlign w:val="center"/>
            <w:shd w:fill="EEF4F8"/>
          </w:tcPr>
          <w:p>
            <w:pPr>
              <w:spacing w:after="0" w:before="0"/>
            </w:pPr>
            <w:r>
              <w:rPr>
                <w:rFonts w:ascii="Aptos" w:hAnsi="Aptos"/>
                <w:sz w:val="17"/>
              </w:rPr>
            </w:r>
            <w:r>
              <w:rPr>
                <w:rFonts w:ascii="Aptos" w:hAnsi="Aptos"/>
                <w:b/>
                <w:sz w:val="17"/>
              </w:rPr>
              <w:t>Low</w:t>
            </w:r>
          </w:p>
        </w:tc>
        <w:tc>
          <w:tcPr>
            <w:tcW w:type="dxa" w:w="7200"/>
            <w:vAlign w:val="center"/>
            <w:shd w:fill="EEF4F8"/>
          </w:tcPr>
          <w:p>
            <w:pPr>
              <w:spacing w:after="0" w:before="0"/>
            </w:pPr>
            <w:r>
              <w:rPr>
                <w:rFonts w:ascii="Aptos" w:hAnsi="Aptos"/>
                <w:sz w:val="17"/>
              </w:rPr>
            </w:r>
            <w:r>
              <w:rPr>
                <w:rFonts w:ascii="Aptos" w:hAnsi="Aptos"/>
                <w:b w:val="0"/>
                <w:sz w:val="17"/>
              </w:rPr>
              <w:t>Synthetic training data limits baseline exposure; production use with personal data requires separate privacy controls and assessment.</w:t>
            </w:r>
          </w:p>
        </w:tc>
      </w:tr>
      <w:tr>
        <w:trPr>
          <w:cantSplit/>
        </w:trPr>
        <w:tc>
          <w:tcPr>
            <w:tcW w:type="dxa" w:w="3096"/>
            <w:vAlign w:val="center"/>
          </w:tcPr>
          <w:p>
            <w:pPr>
              <w:spacing w:after="0" w:before="0"/>
            </w:pPr>
            <w:r>
              <w:rPr>
                <w:rFonts w:ascii="Aptos" w:hAnsi="Aptos"/>
                <w:sz w:val="17"/>
              </w:rPr>
            </w:r>
            <w:r>
              <w:rPr>
                <w:rFonts w:ascii="Aptos" w:hAnsi="Aptos"/>
                <w:b w:val="0"/>
                <w:sz w:val="17"/>
              </w:rPr>
              <w:t>Environmental impact</w:t>
            </w:r>
          </w:p>
        </w:tc>
        <w:tc>
          <w:tcPr>
            <w:tcW w:type="dxa" w:w="1800"/>
            <w:vAlign w:val="center"/>
          </w:tcPr>
          <w:p>
            <w:pPr>
              <w:spacing w:after="0" w:before="0"/>
            </w:pPr>
            <w:r>
              <w:rPr>
                <w:rFonts w:ascii="Aptos" w:hAnsi="Aptos"/>
                <w:sz w:val="17"/>
              </w:rPr>
            </w:r>
            <w:r>
              <w:rPr>
                <w:rFonts w:ascii="Aptos" w:hAnsi="Aptos"/>
                <w:b/>
                <w:sz w:val="17"/>
              </w:rPr>
              <w:t>Low</w:t>
            </w:r>
          </w:p>
        </w:tc>
        <w:tc>
          <w:tcPr>
            <w:tcW w:type="dxa" w:w="7200"/>
            <w:vAlign w:val="center"/>
          </w:tcPr>
          <w:p>
            <w:pPr>
              <w:spacing w:after="0" w:before="0"/>
            </w:pPr>
            <w:r>
              <w:rPr>
                <w:rFonts w:ascii="Aptos" w:hAnsi="Aptos"/>
                <w:sz w:val="17"/>
              </w:rPr>
            </w:r>
            <w:r>
              <w:rPr>
                <w:rFonts w:ascii="Aptos" w:hAnsi="Aptos"/>
                <w:b w:val="0"/>
                <w:sz w:val="17"/>
              </w:rPr>
              <w:t>The model is comparatively small, but scaled inference/retraining could increase resource use and should be measured if deployment scale changes.</w:t>
            </w:r>
          </w:p>
        </w:tc>
      </w:tr>
    </w:tbl>
    <w:p>
      <w:pPr>
        <w:pStyle w:val="Callout"/>
      </w:pPr>
      <w:r>
        <w:t>Residual-risk decision rule: No release should occur if Ethical or Legal residual risk remains High, if the expanded benchmark shows unsupported gender-based candidate selection, or if required human-review controls are not enforceable.</w:t>
      </w:r>
    </w:p>
    <w:p>
      <w:pPr>
        <w:pStyle w:val="Heading1"/>
      </w:pPr>
      <w:r>
        <w:t>6. Validation and Success Criteria</w:t>
      </w:r>
    </w:p>
    <w:p>
      <w:r>
        <w:t>Success criteria are proposed internal release gates for this project. They are not claims that the project rubric or an external regulation mandates these exact numerical thresholds. They are designed to make mitigation effectiveness testable.</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blHeader w:val="true"/>
        </w:trPr>
        <w:tc>
          <w:tcPr>
            <w:tcW w:type="dxa" w:w="936"/>
            <w:vAlign w:val="center"/>
            <w:shd w:fill="17365D"/>
          </w:tcPr>
          <w:p>
            <w:pPr>
              <w:spacing w:after="0" w:before="0"/>
            </w:pPr>
            <w:r>
              <w:rPr>
                <w:rFonts w:ascii="Aptos" w:hAnsi="Aptos"/>
                <w:b/>
                <w:color w:val="FFFFFF"/>
                <w:sz w:val="16"/>
              </w:rPr>
            </w:r>
            <w:r>
              <w:rPr>
                <w:rFonts w:ascii="Aptos" w:hAnsi="Aptos"/>
                <w:b/>
                <w:color w:val="FFFFFF"/>
                <w:sz w:val="16"/>
              </w:rPr>
              <w:t>ID</w:t>
            </w:r>
          </w:p>
        </w:tc>
        <w:tc>
          <w:tcPr>
            <w:tcW w:type="dxa" w:w="2376"/>
            <w:vAlign w:val="center"/>
            <w:shd w:fill="17365D"/>
          </w:tcPr>
          <w:p>
            <w:pPr>
              <w:spacing w:after="0" w:before="0"/>
            </w:pPr>
            <w:r>
              <w:rPr>
                <w:rFonts w:ascii="Aptos" w:hAnsi="Aptos"/>
                <w:b/>
                <w:color w:val="FFFFFF"/>
                <w:sz w:val="16"/>
              </w:rPr>
            </w:r>
            <w:r>
              <w:rPr>
                <w:rFonts w:ascii="Aptos" w:hAnsi="Aptos"/>
                <w:b/>
                <w:color w:val="FFFFFF"/>
                <w:sz w:val="16"/>
              </w:rPr>
              <w:t>Measure</w:t>
            </w:r>
          </w:p>
        </w:tc>
        <w:tc>
          <w:tcPr>
            <w:tcW w:type="dxa" w:w="7416"/>
            <w:vAlign w:val="center"/>
            <w:shd w:fill="17365D"/>
          </w:tcPr>
          <w:p>
            <w:pPr>
              <w:spacing w:after="0" w:before="0"/>
            </w:pPr>
            <w:r>
              <w:rPr>
                <w:rFonts w:ascii="Aptos" w:hAnsi="Aptos"/>
                <w:b/>
                <w:color w:val="FFFFFF"/>
                <w:sz w:val="16"/>
              </w:rPr>
            </w:r>
            <w:r>
              <w:rPr>
                <w:rFonts w:ascii="Aptos" w:hAnsi="Aptos"/>
                <w:b/>
                <w:color w:val="FFFFFF"/>
                <w:sz w:val="16"/>
              </w:rPr>
              <w:t>Acceptance Criterion</w:t>
            </w:r>
          </w:p>
        </w:tc>
        <w:tc>
          <w:tcPr>
            <w:tcW w:type="dxa" w:w="1512"/>
            <w:vAlign w:val="center"/>
            <w:shd w:fill="17365D"/>
          </w:tcPr>
          <w:p>
            <w:pPr>
              <w:spacing w:after="0" w:before="0"/>
            </w:pPr>
            <w:r>
              <w:rPr>
                <w:rFonts w:ascii="Aptos" w:hAnsi="Aptos"/>
                <w:b/>
                <w:color w:val="FFFFFF"/>
                <w:sz w:val="16"/>
              </w:rPr>
            </w:r>
            <w:r>
              <w:rPr>
                <w:rFonts w:ascii="Aptos" w:hAnsi="Aptos"/>
                <w:b/>
                <w:color w:val="FFFFFF"/>
                <w:sz w:val="16"/>
              </w:rPr>
              <w:t>Gate</w:t>
            </w:r>
          </w:p>
        </w:tc>
      </w:tr>
      <w:tr>
        <w:trPr>
          <w:cantSplit/>
        </w:trPr>
        <w:tc>
          <w:tcPr>
            <w:tcW w:type="dxa" w:w="936"/>
            <w:vAlign w:val="center"/>
          </w:tcPr>
          <w:p>
            <w:pPr>
              <w:spacing w:after="0" w:before="0"/>
            </w:pPr>
            <w:r>
              <w:rPr>
                <w:rFonts w:ascii="Aptos" w:hAnsi="Aptos"/>
                <w:sz w:val="16"/>
              </w:rPr>
            </w:r>
            <w:r>
              <w:rPr>
                <w:rFonts w:ascii="Aptos" w:hAnsi="Aptos"/>
                <w:b w:val="0"/>
                <w:sz w:val="16"/>
              </w:rPr>
              <w:t>SC-01</w:t>
            </w:r>
          </w:p>
        </w:tc>
        <w:tc>
          <w:tcPr>
            <w:tcW w:type="dxa" w:w="2376"/>
            <w:vAlign w:val="center"/>
          </w:tcPr>
          <w:p>
            <w:pPr>
              <w:spacing w:after="0" w:before="0"/>
            </w:pPr>
            <w:r>
              <w:rPr>
                <w:rFonts w:ascii="Aptos" w:hAnsi="Aptos"/>
                <w:sz w:val="16"/>
              </w:rPr>
            </w:r>
            <w:r>
              <w:rPr>
                <w:rFonts w:ascii="Aptos" w:hAnsi="Aptos"/>
                <w:b w:val="0"/>
                <w:sz w:val="16"/>
              </w:rPr>
              <w:t>Neutral-role gender introduction</w:t>
            </w:r>
          </w:p>
        </w:tc>
        <w:tc>
          <w:tcPr>
            <w:tcW w:type="dxa" w:w="7416"/>
            <w:vAlign w:val="center"/>
          </w:tcPr>
          <w:p>
            <w:pPr>
              <w:spacing w:after="0" w:before="0"/>
            </w:pPr>
            <w:r>
              <w:rPr>
                <w:rFonts w:ascii="Aptos" w:hAnsi="Aptos"/>
                <w:sz w:val="16"/>
              </w:rPr>
            </w:r>
            <w:r>
              <w:rPr>
                <w:rFonts w:ascii="Aptos" w:hAnsi="Aptos"/>
                <w:b w:val="0"/>
                <w:sz w:val="16"/>
              </w:rPr>
              <w:t>0 unrequested gender-identity assignments in the controlled neutral employment benchmark unless gender is explicitly relevant to the task.</w:t>
            </w:r>
          </w:p>
        </w:tc>
        <w:tc>
          <w:tcPr>
            <w:tcW w:type="dxa" w:w="1512"/>
            <w:vAlign w:val="center"/>
          </w:tcPr>
          <w:p>
            <w:pPr>
              <w:spacing w:after="0" w:before="0"/>
            </w:pPr>
            <w:r>
              <w:rPr>
                <w:rFonts w:ascii="Aptos" w:hAnsi="Aptos"/>
                <w:sz w:val="16"/>
              </w:rPr>
            </w:r>
            <w:r>
              <w:rPr>
                <w:rFonts w:ascii="Aptos" w:hAnsi="Aptos"/>
                <w:b w:val="0"/>
                <w:sz w:val="16"/>
              </w:rPr>
              <w:t>Release blocker</w:t>
            </w:r>
          </w:p>
        </w:tc>
      </w:tr>
      <w:tr>
        <w:trPr>
          <w:cantSplit/>
        </w:trPr>
        <w:tc>
          <w:tcPr>
            <w:tcW w:type="dxa" w:w="936"/>
            <w:vAlign w:val="center"/>
            <w:shd w:fill="EEF4F8"/>
          </w:tcPr>
          <w:p>
            <w:pPr>
              <w:spacing w:after="0" w:before="0"/>
            </w:pPr>
            <w:r>
              <w:rPr>
                <w:rFonts w:ascii="Aptos" w:hAnsi="Aptos"/>
                <w:sz w:val="16"/>
              </w:rPr>
            </w:r>
            <w:r>
              <w:rPr>
                <w:rFonts w:ascii="Aptos" w:hAnsi="Aptos"/>
                <w:b w:val="0"/>
                <w:sz w:val="16"/>
              </w:rPr>
              <w:t>SC-02</w:t>
            </w:r>
          </w:p>
        </w:tc>
        <w:tc>
          <w:tcPr>
            <w:tcW w:type="dxa" w:w="2376"/>
            <w:vAlign w:val="center"/>
            <w:shd w:fill="EEF4F8"/>
          </w:tcPr>
          <w:p>
            <w:pPr>
              <w:spacing w:after="0" w:before="0"/>
            </w:pPr>
            <w:r>
              <w:rPr>
                <w:rFonts w:ascii="Aptos" w:hAnsi="Aptos"/>
                <w:sz w:val="16"/>
              </w:rPr>
            </w:r>
            <w:r>
              <w:rPr>
                <w:rFonts w:ascii="Aptos" w:hAnsi="Aptos"/>
                <w:b w:val="0"/>
                <w:sz w:val="16"/>
              </w:rPr>
              <w:t>Explicit gender consistency</w:t>
            </w:r>
          </w:p>
        </w:tc>
        <w:tc>
          <w:tcPr>
            <w:tcW w:type="dxa" w:w="7416"/>
            <w:vAlign w:val="center"/>
            <w:shd w:fill="EEF4F8"/>
          </w:tcPr>
          <w:p>
            <w:pPr>
              <w:spacing w:after="0" w:before="0"/>
            </w:pPr>
            <w:r>
              <w:rPr>
                <w:rFonts w:ascii="Aptos" w:hAnsi="Aptos"/>
                <w:sz w:val="16"/>
              </w:rPr>
            </w:r>
            <w:r>
              <w:rPr>
                <w:rFonts w:ascii="Aptos" w:hAnsi="Aptos"/>
                <w:b w:val="0"/>
                <w:sz w:val="16"/>
              </w:rPr>
              <w:t>At least 98% of expanded controlled prompts must maintain the explicitly requested gender consistently; 100% of critical contradictions must be blocked before display.</w:t>
            </w:r>
          </w:p>
        </w:tc>
        <w:tc>
          <w:tcPr>
            <w:tcW w:type="dxa" w:w="1512"/>
            <w:vAlign w:val="center"/>
            <w:shd w:fill="EEF4F8"/>
          </w:tcPr>
          <w:p>
            <w:pPr>
              <w:spacing w:after="0" w:before="0"/>
            </w:pPr>
            <w:r>
              <w:rPr>
                <w:rFonts w:ascii="Aptos" w:hAnsi="Aptos"/>
                <w:sz w:val="16"/>
              </w:rPr>
            </w:r>
            <w:r>
              <w:rPr>
                <w:rFonts w:ascii="Aptos" w:hAnsi="Aptos"/>
                <w:b w:val="0"/>
                <w:sz w:val="16"/>
              </w:rPr>
              <w:t>Release blocker</w:t>
            </w:r>
          </w:p>
        </w:tc>
      </w:tr>
      <w:tr>
        <w:trPr>
          <w:cantSplit/>
        </w:trPr>
        <w:tc>
          <w:tcPr>
            <w:tcW w:type="dxa" w:w="936"/>
            <w:vAlign w:val="center"/>
          </w:tcPr>
          <w:p>
            <w:pPr>
              <w:spacing w:after="0" w:before="0"/>
            </w:pPr>
            <w:r>
              <w:rPr>
                <w:rFonts w:ascii="Aptos" w:hAnsi="Aptos"/>
                <w:sz w:val="16"/>
              </w:rPr>
            </w:r>
            <w:r>
              <w:rPr>
                <w:rFonts w:ascii="Aptos" w:hAnsi="Aptos"/>
                <w:b w:val="0"/>
                <w:sz w:val="16"/>
              </w:rPr>
              <w:t>SC-03</w:t>
            </w:r>
          </w:p>
        </w:tc>
        <w:tc>
          <w:tcPr>
            <w:tcW w:type="dxa" w:w="2376"/>
            <w:vAlign w:val="center"/>
          </w:tcPr>
          <w:p>
            <w:pPr>
              <w:spacing w:after="0" w:before="0"/>
            </w:pPr>
            <w:r>
              <w:rPr>
                <w:rFonts w:ascii="Aptos" w:hAnsi="Aptos"/>
                <w:sz w:val="16"/>
              </w:rPr>
            </w:r>
            <w:r>
              <w:rPr>
                <w:rFonts w:ascii="Aptos" w:hAnsi="Aptos"/>
                <w:b w:val="0"/>
                <w:sz w:val="16"/>
              </w:rPr>
              <w:t>Equal-qualification decisions</w:t>
            </w:r>
          </w:p>
        </w:tc>
        <w:tc>
          <w:tcPr>
            <w:tcW w:type="dxa" w:w="7416"/>
            <w:vAlign w:val="center"/>
          </w:tcPr>
          <w:p>
            <w:pPr>
              <w:spacing w:after="0" w:before="0"/>
            </w:pPr>
            <w:r>
              <w:rPr>
                <w:rFonts w:ascii="Aptos" w:hAnsi="Aptos"/>
                <w:sz w:val="16"/>
              </w:rPr>
            </w:r>
            <w:r>
              <w:rPr>
                <w:rFonts w:ascii="Aptos" w:hAnsi="Aptos"/>
                <w:b w:val="0"/>
                <w:sz w:val="16"/>
              </w:rPr>
              <w:t>0 unsupported candidate preferences in controlled equal-qualification hiring scenarios across the release benchmark and tested seeds.</w:t>
            </w:r>
          </w:p>
        </w:tc>
        <w:tc>
          <w:tcPr>
            <w:tcW w:type="dxa" w:w="1512"/>
            <w:vAlign w:val="center"/>
          </w:tcPr>
          <w:p>
            <w:pPr>
              <w:spacing w:after="0" w:before="0"/>
            </w:pPr>
            <w:r>
              <w:rPr>
                <w:rFonts w:ascii="Aptos" w:hAnsi="Aptos"/>
                <w:sz w:val="16"/>
              </w:rPr>
            </w:r>
            <w:r>
              <w:rPr>
                <w:rFonts w:ascii="Aptos" w:hAnsi="Aptos"/>
                <w:b w:val="0"/>
                <w:sz w:val="16"/>
              </w:rPr>
              <w:t>Release blocker</w:t>
            </w:r>
          </w:p>
        </w:tc>
      </w:tr>
      <w:tr>
        <w:trPr>
          <w:cantSplit/>
        </w:trPr>
        <w:tc>
          <w:tcPr>
            <w:tcW w:type="dxa" w:w="936"/>
            <w:vAlign w:val="center"/>
            <w:shd w:fill="EEF4F8"/>
          </w:tcPr>
          <w:p>
            <w:pPr>
              <w:spacing w:after="0" w:before="0"/>
            </w:pPr>
            <w:r>
              <w:rPr>
                <w:rFonts w:ascii="Aptos" w:hAnsi="Aptos"/>
                <w:sz w:val="16"/>
              </w:rPr>
            </w:r>
            <w:r>
              <w:rPr>
                <w:rFonts w:ascii="Aptos" w:hAnsi="Aptos"/>
                <w:b w:val="0"/>
                <w:sz w:val="16"/>
              </w:rPr>
              <w:t>SC-04</w:t>
            </w:r>
          </w:p>
        </w:tc>
        <w:tc>
          <w:tcPr>
            <w:tcW w:type="dxa" w:w="2376"/>
            <w:vAlign w:val="center"/>
            <w:shd w:fill="EEF4F8"/>
          </w:tcPr>
          <w:p>
            <w:pPr>
              <w:spacing w:after="0" w:before="0"/>
            </w:pPr>
            <w:r>
              <w:rPr>
                <w:rFonts w:ascii="Aptos" w:hAnsi="Aptos"/>
                <w:sz w:val="16"/>
              </w:rPr>
            </w:r>
            <w:r>
              <w:rPr>
                <w:rFonts w:ascii="Aptos" w:hAnsi="Aptos"/>
                <w:b w:val="0"/>
                <w:sz w:val="16"/>
              </w:rPr>
              <w:t>Counterfactual review</w:t>
            </w:r>
          </w:p>
        </w:tc>
        <w:tc>
          <w:tcPr>
            <w:tcW w:type="dxa" w:w="7416"/>
            <w:vAlign w:val="center"/>
            <w:shd w:fill="EEF4F8"/>
          </w:tcPr>
          <w:p>
            <w:pPr>
              <w:spacing w:after="0" w:before="0"/>
            </w:pPr>
            <w:r>
              <w:rPr>
                <w:rFonts w:ascii="Aptos" w:hAnsi="Aptos"/>
                <w:sz w:val="16"/>
              </w:rPr>
            </w:r>
            <w:r>
              <w:rPr>
                <w:rFonts w:ascii="Aptos" w:hAnsi="Aptos"/>
                <w:b w:val="0"/>
                <w:sz w:val="16"/>
              </w:rPr>
              <w:t>All material semantic differences across gender-swapped prompts must be reviewed; no unresolved difference may assign materially stronger/weaker professional qualifications solely from gender cues.</w:t>
            </w:r>
          </w:p>
        </w:tc>
        <w:tc>
          <w:tcPr>
            <w:tcW w:type="dxa" w:w="1512"/>
            <w:vAlign w:val="center"/>
            <w:shd w:fill="EEF4F8"/>
          </w:tcPr>
          <w:p>
            <w:pPr>
              <w:spacing w:after="0" w:before="0"/>
            </w:pPr>
            <w:r>
              <w:rPr>
                <w:rFonts w:ascii="Aptos" w:hAnsi="Aptos"/>
                <w:sz w:val="16"/>
              </w:rPr>
            </w:r>
            <w:r>
              <w:rPr>
                <w:rFonts w:ascii="Aptos" w:hAnsi="Aptos"/>
                <w:b w:val="0"/>
                <w:sz w:val="16"/>
              </w:rPr>
              <w:t>Release blocker</w:t>
            </w:r>
          </w:p>
        </w:tc>
      </w:tr>
      <w:tr>
        <w:trPr>
          <w:cantSplit/>
        </w:trPr>
        <w:tc>
          <w:tcPr>
            <w:tcW w:type="dxa" w:w="936"/>
            <w:vAlign w:val="center"/>
          </w:tcPr>
          <w:p>
            <w:pPr>
              <w:spacing w:after="0" w:before="0"/>
            </w:pPr>
            <w:r>
              <w:rPr>
                <w:rFonts w:ascii="Aptos" w:hAnsi="Aptos"/>
                <w:sz w:val="16"/>
              </w:rPr>
            </w:r>
            <w:r>
              <w:rPr>
                <w:rFonts w:ascii="Aptos" w:hAnsi="Aptos"/>
                <w:b w:val="0"/>
                <w:sz w:val="16"/>
              </w:rPr>
              <w:t>SC-05</w:t>
            </w:r>
          </w:p>
        </w:tc>
        <w:tc>
          <w:tcPr>
            <w:tcW w:type="dxa" w:w="2376"/>
            <w:vAlign w:val="center"/>
          </w:tcPr>
          <w:p>
            <w:pPr>
              <w:spacing w:after="0" w:before="0"/>
            </w:pPr>
            <w:r>
              <w:rPr>
                <w:rFonts w:ascii="Aptos" w:hAnsi="Aptos"/>
                <w:sz w:val="16"/>
              </w:rPr>
            </w:r>
            <w:r>
              <w:rPr>
                <w:rFonts w:ascii="Aptos" w:hAnsi="Aptos"/>
                <w:b w:val="0"/>
                <w:sz w:val="16"/>
              </w:rPr>
              <w:t>Output integrity</w:t>
            </w:r>
          </w:p>
        </w:tc>
        <w:tc>
          <w:tcPr>
            <w:tcW w:type="dxa" w:w="7416"/>
            <w:vAlign w:val="center"/>
          </w:tcPr>
          <w:p>
            <w:pPr>
              <w:spacing w:after="0" w:before="0"/>
            </w:pPr>
            <w:r>
              <w:rPr>
                <w:rFonts w:ascii="Aptos" w:hAnsi="Aptos"/>
                <w:sz w:val="16"/>
              </w:rPr>
            </w:r>
            <w:r>
              <w:rPr>
                <w:rFonts w:ascii="Aptos" w:hAnsi="Aptos"/>
                <w:b w:val="0"/>
                <w:sz w:val="16"/>
              </w:rPr>
              <w:t>0 unverified external attributions/URLs or malformed critical response markers allowed through the production output-control layer.</w:t>
            </w:r>
          </w:p>
        </w:tc>
        <w:tc>
          <w:tcPr>
            <w:tcW w:type="dxa" w:w="1512"/>
            <w:vAlign w:val="center"/>
          </w:tcPr>
          <w:p>
            <w:pPr>
              <w:spacing w:after="0" w:before="0"/>
            </w:pPr>
            <w:r>
              <w:rPr>
                <w:rFonts w:ascii="Aptos" w:hAnsi="Aptos"/>
                <w:sz w:val="16"/>
              </w:rPr>
            </w:r>
            <w:r>
              <w:rPr>
                <w:rFonts w:ascii="Aptos" w:hAnsi="Aptos"/>
                <w:b w:val="0"/>
                <w:sz w:val="16"/>
              </w:rPr>
              <w:t>Release blocker</w:t>
            </w:r>
          </w:p>
        </w:tc>
      </w:tr>
      <w:tr>
        <w:trPr>
          <w:cantSplit/>
        </w:trPr>
        <w:tc>
          <w:tcPr>
            <w:tcW w:type="dxa" w:w="936"/>
            <w:vAlign w:val="center"/>
            <w:shd w:fill="EEF4F8"/>
          </w:tcPr>
          <w:p>
            <w:pPr>
              <w:spacing w:after="0" w:before="0"/>
            </w:pPr>
            <w:r>
              <w:rPr>
                <w:rFonts w:ascii="Aptos" w:hAnsi="Aptos"/>
                <w:sz w:val="16"/>
              </w:rPr>
            </w:r>
            <w:r>
              <w:rPr>
                <w:rFonts w:ascii="Aptos" w:hAnsi="Aptos"/>
                <w:b w:val="0"/>
                <w:sz w:val="16"/>
              </w:rPr>
              <w:t>SC-06</w:t>
            </w:r>
          </w:p>
        </w:tc>
        <w:tc>
          <w:tcPr>
            <w:tcW w:type="dxa" w:w="2376"/>
            <w:vAlign w:val="center"/>
            <w:shd w:fill="EEF4F8"/>
          </w:tcPr>
          <w:p>
            <w:pPr>
              <w:spacing w:after="0" w:before="0"/>
            </w:pPr>
            <w:r>
              <w:rPr>
                <w:rFonts w:ascii="Aptos" w:hAnsi="Aptos"/>
                <w:sz w:val="16"/>
              </w:rPr>
            </w:r>
            <w:r>
              <w:rPr>
                <w:rFonts w:ascii="Aptos" w:hAnsi="Aptos"/>
                <w:b w:val="0"/>
                <w:sz w:val="16"/>
              </w:rPr>
              <w:t>Human oversight</w:t>
            </w:r>
          </w:p>
        </w:tc>
        <w:tc>
          <w:tcPr>
            <w:tcW w:type="dxa" w:w="7416"/>
            <w:vAlign w:val="center"/>
            <w:shd w:fill="EEF4F8"/>
          </w:tcPr>
          <w:p>
            <w:pPr>
              <w:spacing w:after="0" w:before="0"/>
            </w:pPr>
            <w:r>
              <w:rPr>
                <w:rFonts w:ascii="Aptos" w:hAnsi="Aptos"/>
                <w:sz w:val="16"/>
              </w:rPr>
            </w:r>
            <w:r>
              <w:rPr>
                <w:rFonts w:ascii="Aptos" w:hAnsi="Aptos"/>
                <w:b w:val="0"/>
                <w:sz w:val="16"/>
              </w:rPr>
              <w:t>100% of consequential employment outputs require documented human review and authorized human disposition.</w:t>
            </w:r>
          </w:p>
        </w:tc>
        <w:tc>
          <w:tcPr>
            <w:tcW w:type="dxa" w:w="1512"/>
            <w:vAlign w:val="center"/>
            <w:shd w:fill="EEF4F8"/>
          </w:tcPr>
          <w:p>
            <w:pPr>
              <w:spacing w:after="0" w:before="0"/>
            </w:pPr>
            <w:r>
              <w:rPr>
                <w:rFonts w:ascii="Aptos" w:hAnsi="Aptos"/>
                <w:sz w:val="16"/>
              </w:rPr>
            </w:r>
            <w:r>
              <w:rPr>
                <w:rFonts w:ascii="Aptos" w:hAnsi="Aptos"/>
                <w:b w:val="0"/>
                <w:sz w:val="16"/>
              </w:rPr>
              <w:t>Release blocker</w:t>
            </w:r>
          </w:p>
        </w:tc>
      </w:tr>
      <w:tr>
        <w:trPr>
          <w:cantSplit/>
        </w:trPr>
        <w:tc>
          <w:tcPr>
            <w:tcW w:type="dxa" w:w="936"/>
            <w:vAlign w:val="center"/>
          </w:tcPr>
          <w:p>
            <w:pPr>
              <w:spacing w:after="0" w:before="0"/>
            </w:pPr>
            <w:r>
              <w:rPr>
                <w:rFonts w:ascii="Aptos" w:hAnsi="Aptos"/>
                <w:sz w:val="16"/>
              </w:rPr>
            </w:r>
            <w:r>
              <w:rPr>
                <w:rFonts w:ascii="Aptos" w:hAnsi="Aptos"/>
                <w:b w:val="0"/>
                <w:sz w:val="16"/>
              </w:rPr>
              <w:t>SC-07</w:t>
            </w:r>
          </w:p>
        </w:tc>
        <w:tc>
          <w:tcPr>
            <w:tcW w:type="dxa" w:w="2376"/>
            <w:vAlign w:val="center"/>
          </w:tcPr>
          <w:p>
            <w:pPr>
              <w:spacing w:after="0" w:before="0"/>
            </w:pPr>
            <w:r>
              <w:rPr>
                <w:rFonts w:ascii="Aptos" w:hAnsi="Aptos"/>
                <w:sz w:val="16"/>
              </w:rPr>
            </w:r>
            <w:r>
              <w:rPr>
                <w:rFonts w:ascii="Aptos" w:hAnsi="Aptos"/>
                <w:b w:val="0"/>
                <w:sz w:val="16"/>
              </w:rPr>
              <w:t>Regression completeness</w:t>
            </w:r>
          </w:p>
        </w:tc>
        <w:tc>
          <w:tcPr>
            <w:tcW w:type="dxa" w:w="7416"/>
            <w:vAlign w:val="center"/>
          </w:tcPr>
          <w:p>
            <w:pPr>
              <w:spacing w:after="0" w:before="0"/>
            </w:pPr>
            <w:r>
              <w:rPr>
                <w:rFonts w:ascii="Aptos" w:hAnsi="Aptos"/>
                <w:sz w:val="16"/>
              </w:rPr>
            </w:r>
            <w:r>
              <w:rPr>
                <w:rFonts w:ascii="Aptos" w:hAnsi="Aptos"/>
                <w:b w:val="0"/>
                <w:sz w:val="16"/>
              </w:rPr>
              <w:t>100% of required fairness, security, privacy, and governance regression suites pass on the exact release candidate.</w:t>
            </w:r>
          </w:p>
        </w:tc>
        <w:tc>
          <w:tcPr>
            <w:tcW w:type="dxa" w:w="1512"/>
            <w:vAlign w:val="center"/>
          </w:tcPr>
          <w:p>
            <w:pPr>
              <w:spacing w:after="0" w:before="0"/>
            </w:pPr>
            <w:r>
              <w:rPr>
                <w:rFonts w:ascii="Aptos" w:hAnsi="Aptos"/>
                <w:sz w:val="16"/>
              </w:rPr>
            </w:r>
            <w:r>
              <w:rPr>
                <w:rFonts w:ascii="Aptos" w:hAnsi="Aptos"/>
                <w:b w:val="0"/>
                <w:sz w:val="16"/>
              </w:rPr>
              <w:t>Release blocker</w:t>
            </w:r>
          </w:p>
        </w:tc>
      </w:tr>
      <w:tr>
        <w:trPr>
          <w:cantSplit/>
        </w:trPr>
        <w:tc>
          <w:tcPr>
            <w:tcW w:type="dxa" w:w="936"/>
            <w:vAlign w:val="center"/>
            <w:shd w:fill="EEF4F8"/>
          </w:tcPr>
          <w:p>
            <w:pPr>
              <w:spacing w:after="0" w:before="0"/>
            </w:pPr>
            <w:r>
              <w:rPr>
                <w:rFonts w:ascii="Aptos" w:hAnsi="Aptos"/>
                <w:sz w:val="16"/>
              </w:rPr>
            </w:r>
            <w:r>
              <w:rPr>
                <w:rFonts w:ascii="Aptos" w:hAnsi="Aptos"/>
                <w:b w:val="0"/>
                <w:sz w:val="16"/>
              </w:rPr>
              <w:t>SC-08</w:t>
            </w:r>
          </w:p>
        </w:tc>
        <w:tc>
          <w:tcPr>
            <w:tcW w:type="dxa" w:w="2376"/>
            <w:vAlign w:val="center"/>
            <w:shd w:fill="EEF4F8"/>
          </w:tcPr>
          <w:p>
            <w:pPr>
              <w:spacing w:after="0" w:before="0"/>
            </w:pPr>
            <w:r>
              <w:rPr>
                <w:rFonts w:ascii="Aptos" w:hAnsi="Aptos"/>
                <w:sz w:val="16"/>
              </w:rPr>
            </w:r>
            <w:r>
              <w:rPr>
                <w:rFonts w:ascii="Aptos" w:hAnsi="Aptos"/>
                <w:b w:val="0"/>
                <w:sz w:val="16"/>
              </w:rPr>
              <w:t>Monitoring readiness</w:t>
            </w:r>
          </w:p>
        </w:tc>
        <w:tc>
          <w:tcPr>
            <w:tcW w:type="dxa" w:w="7416"/>
            <w:vAlign w:val="center"/>
            <w:shd w:fill="EEF4F8"/>
          </w:tcPr>
          <w:p>
            <w:pPr>
              <w:spacing w:after="0" w:before="0"/>
            </w:pPr>
            <w:r>
              <w:rPr>
                <w:rFonts w:ascii="Aptos" w:hAnsi="Aptos"/>
                <w:sz w:val="16"/>
              </w:rPr>
            </w:r>
            <w:r>
              <w:rPr>
                <w:rFonts w:ascii="Aptos" w:hAnsi="Aptos"/>
                <w:b w:val="0"/>
                <w:sz w:val="16"/>
              </w:rPr>
              <w:t>Bias/integrity telemetry, logging, escalation, and rollback procedures must be operational before release.</w:t>
            </w:r>
          </w:p>
        </w:tc>
        <w:tc>
          <w:tcPr>
            <w:tcW w:type="dxa" w:w="1512"/>
            <w:vAlign w:val="center"/>
            <w:shd w:fill="EEF4F8"/>
          </w:tcPr>
          <w:p>
            <w:pPr>
              <w:spacing w:after="0" w:before="0"/>
            </w:pPr>
            <w:r>
              <w:rPr>
                <w:rFonts w:ascii="Aptos" w:hAnsi="Aptos"/>
                <w:sz w:val="16"/>
              </w:rPr>
            </w:r>
            <w:r>
              <w:rPr>
                <w:rFonts w:ascii="Aptos" w:hAnsi="Aptos"/>
                <w:b w:val="0"/>
                <w:sz w:val="16"/>
              </w:rPr>
              <w:t>Required</w:t>
            </w:r>
          </w:p>
        </w:tc>
      </w:tr>
      <w:tr>
        <w:trPr>
          <w:cantSplit/>
        </w:trPr>
        <w:tc>
          <w:tcPr>
            <w:tcW w:type="dxa" w:w="936"/>
            <w:vAlign w:val="center"/>
          </w:tcPr>
          <w:p>
            <w:pPr>
              <w:spacing w:after="0" w:before="0"/>
            </w:pPr>
            <w:r>
              <w:rPr>
                <w:rFonts w:ascii="Aptos" w:hAnsi="Aptos"/>
                <w:sz w:val="16"/>
              </w:rPr>
            </w:r>
            <w:r>
              <w:rPr>
                <w:rFonts w:ascii="Aptos" w:hAnsi="Aptos"/>
                <w:b w:val="0"/>
                <w:sz w:val="16"/>
              </w:rPr>
              <w:t>SC-09</w:t>
            </w:r>
          </w:p>
        </w:tc>
        <w:tc>
          <w:tcPr>
            <w:tcW w:type="dxa" w:w="2376"/>
            <w:vAlign w:val="center"/>
          </w:tcPr>
          <w:p>
            <w:pPr>
              <w:spacing w:after="0" w:before="0"/>
            </w:pPr>
            <w:r>
              <w:rPr>
                <w:rFonts w:ascii="Aptos" w:hAnsi="Aptos"/>
                <w:sz w:val="16"/>
              </w:rPr>
            </w:r>
            <w:r>
              <w:rPr>
                <w:rFonts w:ascii="Aptos" w:hAnsi="Aptos"/>
                <w:b w:val="0"/>
                <w:sz w:val="16"/>
              </w:rPr>
              <w:t>Privacy readiness</w:t>
            </w:r>
          </w:p>
        </w:tc>
        <w:tc>
          <w:tcPr>
            <w:tcW w:type="dxa" w:w="7416"/>
            <w:vAlign w:val="center"/>
          </w:tcPr>
          <w:p>
            <w:pPr>
              <w:spacing w:after="0" w:before="0"/>
            </w:pPr>
            <w:r>
              <w:rPr>
                <w:rFonts w:ascii="Aptos" w:hAnsi="Aptos"/>
                <w:sz w:val="16"/>
              </w:rPr>
            </w:r>
            <w:r>
              <w:rPr>
                <w:rFonts w:ascii="Aptos" w:hAnsi="Aptos"/>
                <w:b w:val="0"/>
                <w:sz w:val="16"/>
              </w:rPr>
              <w:t>If personal data are introduced, a separate privacy assessment and required controls must be approved before use.</w:t>
            </w:r>
          </w:p>
        </w:tc>
        <w:tc>
          <w:tcPr>
            <w:tcW w:type="dxa" w:w="1512"/>
            <w:vAlign w:val="center"/>
          </w:tcPr>
          <w:p>
            <w:pPr>
              <w:spacing w:after="0" w:before="0"/>
            </w:pPr>
            <w:r>
              <w:rPr>
                <w:rFonts w:ascii="Aptos" w:hAnsi="Aptos"/>
                <w:sz w:val="16"/>
              </w:rPr>
            </w:r>
            <w:r>
              <w:rPr>
                <w:rFonts w:ascii="Aptos" w:hAnsi="Aptos"/>
                <w:b w:val="0"/>
                <w:sz w:val="16"/>
              </w:rPr>
              <w:t>Conditional blocker</w:t>
            </w:r>
          </w:p>
        </w:tc>
      </w:tr>
      <w:tr>
        <w:trPr>
          <w:cantSplit/>
        </w:trPr>
        <w:tc>
          <w:tcPr>
            <w:tcW w:type="dxa" w:w="936"/>
            <w:vAlign w:val="center"/>
            <w:shd w:fill="EEF4F8"/>
          </w:tcPr>
          <w:p>
            <w:pPr>
              <w:spacing w:after="0" w:before="0"/>
            </w:pPr>
            <w:r>
              <w:rPr>
                <w:rFonts w:ascii="Aptos" w:hAnsi="Aptos"/>
                <w:sz w:val="16"/>
              </w:rPr>
            </w:r>
            <w:r>
              <w:rPr>
                <w:rFonts w:ascii="Aptos" w:hAnsi="Aptos"/>
                <w:b w:val="0"/>
                <w:sz w:val="16"/>
              </w:rPr>
              <w:t>SC-10</w:t>
            </w:r>
          </w:p>
        </w:tc>
        <w:tc>
          <w:tcPr>
            <w:tcW w:type="dxa" w:w="2376"/>
            <w:vAlign w:val="center"/>
            <w:shd w:fill="EEF4F8"/>
          </w:tcPr>
          <w:p>
            <w:pPr>
              <w:spacing w:after="0" w:before="0"/>
            </w:pPr>
            <w:r>
              <w:rPr>
                <w:rFonts w:ascii="Aptos" w:hAnsi="Aptos"/>
                <w:sz w:val="16"/>
              </w:rPr>
            </w:r>
            <w:r>
              <w:rPr>
                <w:rFonts w:ascii="Aptos" w:hAnsi="Aptos"/>
                <w:b w:val="0"/>
                <w:sz w:val="16"/>
              </w:rPr>
              <w:t>Environmental measurement</w:t>
            </w:r>
          </w:p>
        </w:tc>
        <w:tc>
          <w:tcPr>
            <w:tcW w:type="dxa" w:w="7416"/>
            <w:vAlign w:val="center"/>
            <w:shd w:fill="EEF4F8"/>
          </w:tcPr>
          <w:p>
            <w:pPr>
              <w:spacing w:after="0" w:before="0"/>
            </w:pPr>
            <w:r>
              <w:rPr>
                <w:rFonts w:ascii="Aptos" w:hAnsi="Aptos"/>
                <w:sz w:val="16"/>
              </w:rPr>
            </w:r>
            <w:r>
              <w:rPr>
                <w:rFonts w:ascii="Aptos" w:hAnsi="Aptos"/>
                <w:b w:val="0"/>
                <w:sz w:val="16"/>
              </w:rPr>
              <w:t>If retraining or scaled production materially increases compute demand, energy/resource usage must be measured and reviewed.</w:t>
            </w:r>
          </w:p>
        </w:tc>
        <w:tc>
          <w:tcPr>
            <w:tcW w:type="dxa" w:w="1512"/>
            <w:vAlign w:val="center"/>
            <w:shd w:fill="EEF4F8"/>
          </w:tcPr>
          <w:p>
            <w:pPr>
              <w:spacing w:after="0" w:before="0"/>
            </w:pPr>
            <w:r>
              <w:rPr>
                <w:rFonts w:ascii="Aptos" w:hAnsi="Aptos"/>
                <w:sz w:val="16"/>
              </w:rPr>
            </w:r>
            <w:r>
              <w:rPr>
                <w:rFonts w:ascii="Aptos" w:hAnsi="Aptos"/>
                <w:b w:val="0"/>
                <w:sz w:val="16"/>
              </w:rPr>
              <w:t>Scale-dependent</w:t>
            </w:r>
          </w:p>
        </w:tc>
      </w:tr>
    </w:tbl>
    <w:p>
      <w:r>
        <w:t>The same frozen evaluation methodology used in the Ethical Audit Report should be retained for comparison, while the benchmark is expanded to improve coverage. Completion-only measurement, phrase-aware lexicon counting, multi-seed testing, and qualitative interpretation of Jaccard/semantic divergence should remain part of the validation approach.</w:t>
      </w:r>
    </w:p>
    <w:p>
      <w:pPr>
        <w:pStyle w:val="Heading1"/>
      </w:pPr>
      <w:r>
        <w:t>7. Limitations of the Mitigation Plan</w:t>
      </w:r>
    </w:p>
    <w:p>
      <w:pPr>
        <w:pStyle w:val="ListBullet"/>
        <w:spacing w:after="60"/>
      </w:pPr>
      <w:r>
        <w:t>Mitigation controls can reduce risk but cannot guarantee that a generative model will never produce biased or inconsistent language.</w:t>
      </w:r>
    </w:p>
    <w:p>
      <w:pPr>
        <w:pStyle w:val="ListBullet"/>
        <w:spacing w:after="60"/>
      </w:pPr>
      <w:r>
        <w:t>The underlying audit is a bounded behavioral test and does not provide statistically powered population estimates.</w:t>
      </w:r>
    </w:p>
    <w:p>
      <w:pPr>
        <w:pStyle w:val="ListBullet"/>
        <w:spacing w:after="60"/>
      </w:pPr>
      <w:r>
        <w:t>The supplied training data and evaluation framework primarily use binary gender categories, limiting coverage of broader gender identities and intersectional bias.</w:t>
      </w:r>
    </w:p>
    <w:p>
      <w:pPr>
        <w:pStyle w:val="ListBullet"/>
        <w:spacing w:after="60"/>
      </w:pPr>
      <w:r>
        <w:t>Lexicon counts and Jaccard similarity are diagnostic signals, not standalone measures of fairness or discrimination.</w:t>
      </w:r>
    </w:p>
    <w:p>
      <w:pPr>
        <w:pStyle w:val="ListBullet"/>
        <w:spacing w:after="60"/>
      </w:pPr>
      <w:r>
        <w:t>The current model was intentionally trained to be biased; retraining may not be sufficient if harmful associations are deeply embedded, making model replacement a valid treatment option.</w:t>
      </w:r>
    </w:p>
    <w:p>
      <w:pPr>
        <w:pStyle w:val="ListBullet"/>
        <w:spacing w:after="60"/>
      </w:pPr>
      <w:r>
        <w:t>Legal obligations vary by jurisdiction and use case. A deployment-specific legal review is required rather than relying on this educational plan.</w:t>
      </w:r>
    </w:p>
    <w:p>
      <w:pPr>
        <w:pStyle w:val="ListBullet"/>
        <w:spacing w:after="60"/>
      </w:pPr>
      <w:r>
        <w:t>Privacy risk was low in the synthetic audit environment but could change substantially when real applicant or employee data are introduced.</w:t>
      </w:r>
    </w:p>
    <w:p>
      <w:pPr>
        <w:pStyle w:val="ListBullet"/>
        <w:spacing w:after="60"/>
      </w:pPr>
      <w:r>
        <w:t>Security controls in this plan are high-level; a production application requires system-level threat modeling and adversarial testing.</w:t>
      </w:r>
    </w:p>
    <w:p>
      <w:pPr>
        <w:pStyle w:val="ListBullet"/>
        <w:spacing w:after="60"/>
      </w:pPr>
      <w:r>
        <w:t>Environmental impacts were not directly measured and must be reassessed for materially larger training or inference workloads.</w:t>
      </w:r>
    </w:p>
    <w:p>
      <w:pPr>
        <w:pStyle w:val="ListBullet"/>
        <w:spacing w:after="60"/>
      </w:pPr>
      <w:r>
        <w:t>Human oversight is only effective when reviewers have authority, training, time, and incentives to challenge model output rather than automatically accept it.</w:t>
      </w:r>
    </w:p>
    <w:p>
      <w:pPr>
        <w:pStyle w:val="Heading1"/>
      </w:pPr>
      <w:r>
        <w:t>8. Conclusion</w:t>
      </w:r>
    </w:p>
    <w:p>
      <w:pPr>
        <w:spacing w:after="40" w:before="0" w:line="240" w:lineRule="auto"/>
      </w:pPr>
      <w:r>
        <w:rPr>
          <w:sz w:val="21"/>
        </w:rPr>
        <w:t>The Ethical Audit Report identified High ethical risk and High potential legal risk for production employment-related use of the evaluated model. The mitigation strategy therefore begins with a firm deployment boundary: the current intentionally biased model should not be approved for production hiring, recruiting, personnel evaluation, or consequential employment decision support.</w:t>
      </w:r>
    </w:p>
    <w:p>
      <w:pPr>
        <w:spacing w:after="40" w:before="0" w:line="240" w:lineRule="auto"/>
      </w:pPr>
      <w:r>
        <w:rPr>
          <w:sz w:val="21"/>
        </w:rPr>
        <w:t>A future release should be considered only after the biased training data and/or model are remediated, the controlled evaluation suite is rerun on the exact release candidate, technical output controls are in place, human decision authority is enforced, and the release criteria in this plan are independently validated. The mitigation plan deliberately combines data, technical, operational, and governance safeguards because no single control is sufficient for the risks observed.</w:t>
      </w:r>
    </w:p>
    <w:p>
      <w:pPr>
        <w:spacing w:after="40" w:before="0" w:line="240" w:lineRule="auto"/>
      </w:pPr>
      <w:r>
        <w:rPr>
          <w:sz w:val="21"/>
        </w:rPr>
        <w:t>If those safeguards reduce the identified risks to acceptable residual levels, a limited and closely governed use case could be reconsidered. Until then, the appropriate disposition is to retain the model for educational/research analysis only.</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Responsible AI - Comprehensive Mitigation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ind w:left="216"/>
    </w:pPr>
    <w:rPr>
      <w:rFonts w:ascii="Aptos" w:hAnsi="Aptos"/>
      <w:b/>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