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CE243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CE24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04 s.d. 08 Juli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3D68F2" w:rsidRDefault="00E24897" w:rsidP="00E30EAE">
            <w:pPr>
              <w:jc w:val="center"/>
              <w:rPr>
                <w:b/>
              </w:rPr>
            </w:pPr>
            <w:r w:rsidRPr="003D68F2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3D68F2" w:rsidRDefault="00E24897" w:rsidP="00E30EAE">
            <w:pPr>
              <w:jc w:val="center"/>
              <w:rPr>
                <w:b/>
                <w:bCs/>
              </w:rPr>
            </w:pPr>
            <w:r w:rsidRPr="003D68F2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3D68F2" w:rsidRDefault="00E24897" w:rsidP="00E30EAE">
            <w:pPr>
              <w:jc w:val="center"/>
              <w:rPr>
                <w:b/>
              </w:rPr>
            </w:pPr>
            <w:r w:rsidRPr="003D68F2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Default="00E24897" w:rsidP="00E30EA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Default="00E24897" w:rsidP="00E30E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/>
              </w:rPr>
            </w:pPr>
            <w:r w:rsidRPr="003D68F2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/>
              </w:rPr>
            </w:pPr>
            <w:r w:rsidRPr="003D68F2">
              <w:rPr>
                <w:b/>
              </w:rPr>
              <w:t>Selesai</w:t>
            </w:r>
          </w:p>
        </w:tc>
      </w:tr>
      <w:tr w:rsidR="00E24897" w:rsidTr="00E30EAE"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Testing Aplikasi SEHATI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13.55</w:t>
            </w:r>
          </w:p>
        </w:tc>
      </w:tr>
      <w:tr w:rsidR="00E24897" w:rsidTr="00E30EAE">
        <w:trPr>
          <w:trHeight w:val="702"/>
        </w:trPr>
        <w:tc>
          <w:tcPr>
            <w:tcW w:w="772" w:type="dxa"/>
            <w:vMerge/>
            <w:textDirection w:val="btLr"/>
            <w:vAlign w:val="center"/>
          </w:tcPr>
          <w:p w:rsidR="00E24897" w:rsidRDefault="00E24897" w:rsidP="00E30EAE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Record UI Aplikasi SEHATI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14.30</w:t>
            </w:r>
          </w:p>
        </w:tc>
      </w:tr>
      <w:tr w:rsidR="00E24897" w:rsidTr="00E30EAE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pPr>
              <w:rPr>
                <w:i/>
              </w:rPr>
            </w:pPr>
            <w:r w:rsidRPr="003D68F2">
              <w:t>Diagram BPMN Sertifikasi Standar Perpanjangan Kegiatan Kerja Keruk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14.00</w:t>
            </w:r>
          </w:p>
        </w:tc>
      </w:tr>
      <w:tr w:rsidR="00E24897" w:rsidTr="00E30EAE">
        <w:trPr>
          <w:trHeight w:val="680"/>
        </w:trPr>
        <w:tc>
          <w:tcPr>
            <w:tcW w:w="772" w:type="dxa"/>
            <w:vMerge/>
            <w:textDirection w:val="btLr"/>
            <w:vAlign w:val="center"/>
          </w:tcPr>
          <w:p w:rsidR="00E24897" w:rsidRDefault="00E24897" w:rsidP="00E30EAE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UI Web Role Pemohon-Evaluator (Sertifikasi Standar Perpanjangan Kegiatan Kerja Keruk)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</w:pPr>
            <w:r w:rsidRPr="003D68F2">
              <w:t>14.00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</w:pPr>
            <w:r w:rsidRPr="003D68F2">
              <w:t>17.30</w:t>
            </w:r>
          </w:p>
        </w:tc>
      </w:tr>
      <w:tr w:rsidR="00E24897" w:rsidTr="00E30EAE">
        <w:trPr>
          <w:trHeight w:val="814"/>
        </w:trPr>
        <w:tc>
          <w:tcPr>
            <w:tcW w:w="772" w:type="dxa"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UI Web Role Pemohon, Evaluator dan Evaluasi (Sertifikasi Standar Perpanjangan Kegiatan Kerja Keruk)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17.30</w:t>
            </w:r>
          </w:p>
        </w:tc>
      </w:tr>
      <w:tr w:rsidR="00E24897" w:rsidTr="00E30EAE">
        <w:trPr>
          <w:trHeight w:val="556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UI Web dan Record UI Role Petugas Kasi-Dirjen (Sertifikasi Standar Perpanjangan Kegiatan Kerja Keruk)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11.30</w:t>
            </w:r>
          </w:p>
        </w:tc>
      </w:tr>
      <w:tr w:rsidR="00E24897" w:rsidTr="00E30EAE">
        <w:trPr>
          <w:trHeight w:val="374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E30EAE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UI Web Role Pemohon-Pengevaluasi Izin Pembangunan Sementara TUKS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</w:pPr>
            <w:r w:rsidRPr="003D68F2">
              <w:t>13.00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</w:pPr>
            <w:r w:rsidRPr="003D68F2">
              <w:t>17.25</w:t>
            </w:r>
          </w:p>
        </w:tc>
      </w:tr>
      <w:tr w:rsidR="00E24897" w:rsidTr="00E30EAE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Revisi UI Web Sertifikasi Standar Perpanjangan Kegiatan Kerja Keruk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16.30</w:t>
            </w:r>
          </w:p>
        </w:tc>
      </w:tr>
      <w:tr w:rsidR="00E24897" w:rsidTr="00E30EAE">
        <w:trPr>
          <w:trHeight w:val="317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Record UI Izin Pembangunan Sementara TUKS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16.30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17.00</w:t>
            </w:r>
          </w:p>
        </w:tc>
      </w:tr>
      <w:tr w:rsidR="00E24897" w:rsidTr="00E30EAE">
        <w:trPr>
          <w:trHeight w:val="113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E24897" w:rsidP="00E30EAE">
            <w:r w:rsidRPr="003D68F2">
              <w:t>Pengenalan Laporan Idis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E30EAE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17.20</w:t>
            </w:r>
          </w:p>
        </w:tc>
      </w:tr>
    </w:tbl>
    <w:p w:rsidR="00E24897" w:rsidRDefault="00E24897" w:rsidP="00E2489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  <w:sectPr w:rsidR="00E24897" w:rsidSect="00951430">
          <w:headerReference w:type="default" r:id="rId7"/>
          <w:pgSz w:w="11906" w:h="16838"/>
          <w:pgMar w:top="1701" w:right="1701" w:bottom="1701" w:left="2268" w:header="1134" w:footer="935" w:gutter="0"/>
          <w:cols w:space="708"/>
          <w:docGrid w:linePitch="360"/>
        </w:sect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lastRenderedPageBreak/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Bandung, 29 Juli 2022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 s.d. 15 Juli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E30EAE">
        <w:trPr>
          <w:trHeight w:val="37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Revisi UI Web Sertifikat Standar Perpanjangan Kegiatan Kerja Keruk (Role Pengevaluasi)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11.55</w:t>
            </w:r>
          </w:p>
        </w:tc>
      </w:tr>
      <w:tr w:rsidR="00E24897" w:rsidTr="00E30EAE">
        <w:trPr>
          <w:trHeight w:val="446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Spesifikasi form v.6 Aplikasi SEHATI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14.20</w:t>
            </w:r>
          </w:p>
        </w:tc>
      </w:tr>
      <w:tr w:rsidR="00E24897" w:rsidTr="00E30EAE">
        <w:trPr>
          <w:trHeight w:val="1138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pPr>
              <w:rPr>
                <w:i/>
              </w:rPr>
            </w:pPr>
            <w:r w:rsidRPr="00EF11F9">
              <w:t xml:space="preserve">Revisi UI Web </w:t>
            </w:r>
            <w:r>
              <w:t xml:space="preserve">dan Record UI </w:t>
            </w:r>
            <w:r w:rsidRPr="00EF11F9"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11.30</w:t>
            </w:r>
          </w:p>
        </w:tc>
      </w:tr>
      <w:tr w:rsidR="00E24897" w:rsidTr="00E30EAE">
        <w:trPr>
          <w:trHeight w:val="417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Dokumentasi Maintentance Idis (23 Mar - 22 Jun 2022)</w:t>
            </w:r>
            <w:r>
              <w:t xml:space="preserve">, </w:t>
            </w:r>
            <w:r w:rsidRPr="00EF11F9">
              <w:t>Upload Dokumen pada Google Drive</w:t>
            </w:r>
            <w:r>
              <w:t xml:space="preserve"> dan </w:t>
            </w:r>
            <w:r w:rsidRPr="00EF11F9">
              <w:t>Menambahkan Kendala dan Restart Service Pada Dokumentasi Maintentance Idis (23 Mar - 22 Jun 2022)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16.3</w:t>
            </w:r>
            <w:r w:rsidRPr="00EF11F9">
              <w:rPr>
                <w:bCs/>
              </w:rPr>
              <w:t>0</w:t>
            </w:r>
          </w:p>
        </w:tc>
      </w:tr>
      <w:tr w:rsidR="00E24897" w:rsidTr="00E30EAE">
        <w:trPr>
          <w:trHeight w:val="912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Mengerjakan Sertifikat Standar Perpanjangan Kegiatan Kerja Keruk v.1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17.30</w:t>
            </w:r>
          </w:p>
        </w:tc>
      </w:tr>
      <w:tr w:rsidR="00E24897" w:rsidTr="00E30EAE">
        <w:trPr>
          <w:trHeight w:val="98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Merapihkan Diagram BPMN Sertifikat Standar Perpanjangan Kegiatan Kerja Keruk</w:t>
            </w:r>
            <w:r>
              <w:t xml:space="preserve">, </w:t>
            </w:r>
            <w:r w:rsidRPr="00EF11F9">
              <w:t>Membuat Diagram BPMN Izin Kegiatan Kerja Keruk dan Penyiapan Lahan (Reklamasi)</w:t>
            </w:r>
            <w:r>
              <w:t xml:space="preserve"> dan </w:t>
            </w:r>
            <w:r w:rsidRPr="00EF11F9">
              <w:t>Membuat Sertifikat Form Standar Perpanjangan Kegiatan Kerja Keruk v.1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EF11F9">
              <w:rPr>
                <w:bCs/>
              </w:rPr>
              <w:t>.00</w:t>
            </w:r>
          </w:p>
        </w:tc>
      </w:tr>
      <w:tr w:rsidR="00E24897" w:rsidTr="00E30EAE">
        <w:trPr>
          <w:trHeight w:val="377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Mengerjakan Sertifikat Standar Perpanjangan Kegiatan Kerja Keruk v.2</w:t>
            </w:r>
            <w:r>
              <w:t xml:space="preserve"> dan Melakukan </w:t>
            </w:r>
            <w:r w:rsidRPr="00EF11F9">
              <w:t xml:space="preserve">Testing Aplikasi SEHATI </w:t>
            </w:r>
            <w:r w:rsidRPr="00EF11F9">
              <w:rPr>
                <w:shd w:val="clear" w:color="auto" w:fill="FFFFFF"/>
              </w:rPr>
              <w:t>Permohonan Penetapan Pemenuhan Komitmen Penyesuaian Izin Komersial atau Operasional TUKS dan Terminal Khusus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EF11F9">
              <w:rPr>
                <w:bCs/>
              </w:rPr>
              <w:t>.30</w:t>
            </w:r>
          </w:p>
        </w:tc>
      </w:tr>
    </w:tbl>
    <w:p w:rsidR="00E24897" w:rsidRDefault="00E24897" w:rsidP="00E2489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241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</w:tblGrid>
      <w:tr w:rsidR="00E24897" w:rsidTr="00E30EAE">
        <w:trPr>
          <w:trHeight w:val="176"/>
        </w:trPr>
        <w:tc>
          <w:tcPr>
            <w:tcW w:w="3241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Bandung, 29 Juli 2022</w:t>
            </w:r>
          </w:p>
        </w:tc>
      </w:tr>
      <w:tr w:rsidR="00E24897" w:rsidTr="00E30EAE">
        <w:trPr>
          <w:trHeight w:val="188"/>
        </w:trPr>
        <w:tc>
          <w:tcPr>
            <w:tcW w:w="3241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rPr>
          <w:trHeight w:val="717"/>
        </w:trPr>
        <w:tc>
          <w:tcPr>
            <w:tcW w:w="3241" w:type="dxa"/>
          </w:tcPr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rPr>
          <w:trHeight w:val="176"/>
        </w:trPr>
        <w:tc>
          <w:tcPr>
            <w:tcW w:w="3241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rPr>
          <w:trHeight w:val="316"/>
        </w:trPr>
        <w:tc>
          <w:tcPr>
            <w:tcW w:w="3241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18 s.d. 22 Juli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E30EAE"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Record UI Web Izin Sertifikat Standar Perpanjangan Kegiatan Kerja Keruk v.2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10.15</w:t>
            </w:r>
          </w:p>
        </w:tc>
      </w:tr>
      <w:tr w:rsidR="00E24897" w:rsidTr="00E30EAE">
        <w:trPr>
          <w:trHeight w:val="364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Membuat Laporan Bulanan Kegiatan Support dan Pemeliharaan Sistem Bulan Juni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10.15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14.30</w:t>
            </w:r>
          </w:p>
        </w:tc>
      </w:tr>
      <w:tr w:rsidR="00E24897" w:rsidTr="00E30EAE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pPr>
              <w:rPr>
                <w:i/>
              </w:rPr>
            </w:pPr>
            <w:r w:rsidRPr="00EF11F9">
              <w:t>Testing apk i-meditap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12.00</w:t>
            </w:r>
          </w:p>
        </w:tc>
      </w:tr>
      <w:tr w:rsidR="00E24897" w:rsidTr="00E30EAE">
        <w:trPr>
          <w:trHeight w:val="633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</w:pPr>
            <w:r w:rsidRPr="00EF11F9">
              <w:t>13.00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</w:pPr>
            <w:r w:rsidRPr="00EF11F9">
              <w:t>17.00</w:t>
            </w:r>
          </w:p>
        </w:tc>
      </w:tr>
      <w:tr w:rsidR="00E24897" w:rsidTr="00E30EAE">
        <w:trPr>
          <w:trHeight w:val="24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Melanjutkan 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EF11F9">
              <w:rPr>
                <w:bCs/>
              </w:rPr>
              <w:t>.00</w:t>
            </w:r>
          </w:p>
        </w:tc>
      </w:tr>
      <w:tr w:rsidR="00E24897" w:rsidTr="00E30EA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Cek Label Pada Attribute Provider Aplikasi i-Meditap (Rawat Jalan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16.00</w:t>
            </w:r>
          </w:p>
        </w:tc>
      </w:tr>
      <w:tr w:rsidR="00E24897" w:rsidTr="00E30EAE">
        <w:trPr>
          <w:trHeight w:val="374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Membuat UI Aplikasi SEHATI - Dir Kepelabuhanan - Pemanfaatan Garis Pantai TPK v.5</w:t>
            </w:r>
            <w:r>
              <w:t xml:space="preserve">, </w:t>
            </w:r>
            <w:r w:rsidRPr="00EF11F9">
              <w:t>Sertifikat Standar Perpanjangan Kegiatan Kerja Keruk v.4</w:t>
            </w:r>
            <w:r>
              <w:t xml:space="preserve"> dan </w:t>
            </w:r>
            <w:r w:rsidRPr="00EF11F9">
              <w:t>Pemanfaatan Garis Pantai Non TPK v.4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  <w:r w:rsidRPr="00EF11F9">
              <w:rPr>
                <w:bCs/>
              </w:rPr>
              <w:t>.00</w:t>
            </w:r>
          </w:p>
        </w:tc>
      </w:tr>
      <w:tr w:rsidR="00E24897" w:rsidTr="00E30EAE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Record UI Aplikasi SEHATI - Dir Kepelabuhanan - Pemanfaatan Garis Pantai TPK v.5</w:t>
            </w:r>
            <w:r>
              <w:t xml:space="preserve">, </w:t>
            </w:r>
            <w:r w:rsidRPr="00EF11F9">
              <w:t>Pemanfaatan Garis Pantai Non TPK v.4</w:t>
            </w:r>
            <w:r>
              <w:t xml:space="preserve"> dan </w:t>
            </w:r>
            <w:r w:rsidRPr="00EF11F9">
              <w:t>Sertifikat Standar Perpanjangan Kegiatan Kerja Keruk v.4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 w:rsidRPr="00EF11F9">
              <w:rPr>
                <w:bCs/>
              </w:rPr>
              <w:t>.00</w:t>
            </w:r>
          </w:p>
        </w:tc>
      </w:tr>
      <w:tr w:rsidR="00E24897" w:rsidTr="00E30EAE">
        <w:trPr>
          <w:trHeight w:val="120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Membuat UI Aplikasi SEHATI - Dir Kepelabuhanan - Pemanfaatan Garis Pantai Non TPK v.5</w:t>
            </w:r>
            <w:r>
              <w:t xml:space="preserve">, </w:t>
            </w:r>
            <w:r w:rsidRPr="00EF11F9">
              <w:t>Pemanfaatan Garis Pantai TPK v.6</w:t>
            </w:r>
            <w:r>
              <w:t xml:space="preserve"> dan </w:t>
            </w:r>
            <w:r w:rsidRPr="00EF11F9">
              <w:t>Sertifikat Standar Perpanjangan Kegiatan Kerja Keruk v.5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  <w:r w:rsidRPr="00EF11F9">
              <w:rPr>
                <w:bCs/>
              </w:rPr>
              <w:t>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EF11F9">
              <w:rPr>
                <w:bCs/>
              </w:rPr>
              <w:t>.00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Bandung, 29 Juli 2022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 s.d. 29 Juli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E30EAE">
        <w:trPr>
          <w:trHeight w:val="839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Belajar Mandiri PHP (Array, Associative Array, GET &amp; POST)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  <w:tr w:rsidR="00E24897" w:rsidTr="00E30EA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Melanjutkan Laporan Bulanan Kegiatan Support Dan Pemeliharaan Sistem Bulan Juni (Laporan Traffic Jaringan Berdasarkan Aplikasi dan Laporan Perangkat Server Berdasarkan Utilisasi Penyimpanan)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15.30</w:t>
            </w:r>
          </w:p>
        </w:tc>
      </w:tr>
      <w:tr w:rsidR="00E24897" w:rsidTr="00E30EAE">
        <w:trPr>
          <w:trHeight w:val="851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Belajar Mandiri PHP (CRUD)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  <w:tr w:rsidR="00E24897" w:rsidTr="00E30EAE">
        <w:trPr>
          <w:trHeight w:val="835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jc w:val="center"/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Belajar Mandiri PHP (Login &amp; Registrasi)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</w:pPr>
            <w:r w:rsidRPr="00EF11F9"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</w:pPr>
            <w:r w:rsidRPr="00EF11F9">
              <w:t>17.20</w:t>
            </w:r>
          </w:p>
        </w:tc>
      </w:tr>
      <w:tr w:rsidR="00E24897" w:rsidTr="00E30EAE">
        <w:trPr>
          <w:trHeight w:val="974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E30EAE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E30EAE">
            <w:r w:rsidRPr="00EF11F9">
              <w:t>Belajar Mandiri PHP (Session &amp; Cookie)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E30EAE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Bandung, 29 Juli 2022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7027F7" w:rsidRDefault="00E24897" w:rsidP="00E30EAE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 w:line="240" w:lineRule="auto"/>
      </w:pPr>
    </w:p>
    <w:p w:rsidR="00E24897" w:rsidRDefault="00E24897">
      <w:r>
        <w:br w:type="page"/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01 s.d. 05 Agustus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E30EAE">
        <w:trPr>
          <w:trHeight w:val="96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Mengerjakan UI Aplikasi SEHATI Dir KPLP Layanan Izin (Perpanjangan Jangka Waktu Pemanfaatan Membangun Bangunan Instalasi)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15.00</w:t>
            </w:r>
          </w:p>
        </w:tc>
      </w:tr>
      <w:tr w:rsidR="00E24897" w:rsidTr="00E30EA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Testing Aplikasi SEHATI (Sertifikat Standar Kegiatan Salvage dan Pekerjaan Bawah Air)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712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Record UI Aplikasi SEHATI Dir KPLP Layanan Izin Membangun Kabel Saluran UdaraSUTT tau Jembatan diatas Perairan</w:t>
            </w:r>
            <w:r>
              <w:t xml:space="preserve">, </w:t>
            </w:r>
            <w:r w:rsidRPr="00243BBB">
              <w:t>Aplikasi SEHATI Dir KPLP Layanan Izin Membongkar Bangunan dan atau Instalasi</w:t>
            </w:r>
            <w:r>
              <w:t xml:space="preserve"> dan </w:t>
            </w:r>
            <w:r w:rsidRPr="00243BBB">
              <w:t>Aplikasi SEHATI Dir KPLP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  <w:r w:rsidRPr="00243BBB">
              <w:rPr>
                <w:bCs/>
              </w:rPr>
              <w:t>.30</w:t>
            </w:r>
          </w:p>
        </w:tc>
      </w:tr>
      <w:tr w:rsidR="00E24897" w:rsidTr="00E30EAE">
        <w:trPr>
          <w:trHeight w:val="248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Spesifikasi Layanan Izin Membongkar Bangunan dan atau Instalasi</w:t>
            </w:r>
            <w:r>
              <w:t xml:space="preserve">, </w:t>
            </w:r>
            <w:r w:rsidRPr="00243BBB">
              <w:t>Spesifikasi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13.00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243BBB">
              <w:rPr>
                <w:bCs/>
              </w:rPr>
              <w:t>.30</w:t>
            </w:r>
          </w:p>
        </w:tc>
      </w:tr>
      <w:tr w:rsidR="00E24897" w:rsidTr="00E30EA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BPMN Layanan Izin Membongkar Bangunan dan atau Instalasi</w:t>
            </w:r>
            <w:r>
              <w:t xml:space="preserve"> dan </w:t>
            </w:r>
            <w:r w:rsidRPr="00243BBB">
              <w:t>BPMN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14.3</w:t>
            </w:r>
            <w:r w:rsidRPr="00243BBB">
              <w:rPr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16.00</w:t>
            </w:r>
          </w:p>
        </w:tc>
      </w:tr>
      <w:tr w:rsidR="00E24897" w:rsidTr="00E30EAE">
        <w:trPr>
          <w:trHeight w:val="72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Testing Aplikasi SEHATI Jasa Kenavigasi Uang Rambu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t>17.00</w:t>
            </w:r>
          </w:p>
        </w:tc>
      </w:tr>
      <w:tr w:rsidR="00E24897" w:rsidTr="00E30EAE">
        <w:trPr>
          <w:trHeight w:val="980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Testing Aplikasi SEHATI Jasa Kapal</w:t>
            </w:r>
            <w:r>
              <w:t xml:space="preserve">, </w:t>
            </w:r>
            <w:r w:rsidRPr="00243BBB">
              <w:t>Jasa Kenavigasian Uang Rambu</w:t>
            </w:r>
            <w:r>
              <w:t xml:space="preserve">, dan </w:t>
            </w:r>
            <w:r w:rsidRPr="00243BBB">
              <w:t>Jasa Kenavigasian Vessel Traffic Service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243BBB">
              <w:rPr>
                <w:bCs/>
              </w:rPr>
              <w:t>.30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Bandung, 26 Agustus 2022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08 s.d. 12 Agustus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E30EAE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Laporan Bulanan Kegiatan Support dan Pemeliharaan Si</w:t>
            </w:r>
            <w:r>
              <w:t>s</w:t>
            </w:r>
            <w:r w:rsidRPr="00243BBB">
              <w:t>tem Bulan Juni Bab (Pemeliharaan Keamanann Sistem dan Jaringan)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11.30</w:t>
            </w:r>
          </w:p>
        </w:tc>
      </w:tr>
      <w:tr w:rsidR="00E24897" w:rsidTr="00E30EA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UI Sertifikat Standar Perpanjangan Kegiatan Kerja Keruk v.5 (Revisi)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83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Dokumen Manual Pengguna CekRekening Verifikator Laporan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989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Dokumen Manual Pengguna CekRekening Verifikator Partner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267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Revisi Dokumen Manual Pengguna CekRekening Admin Partner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15.00</w:t>
            </w:r>
          </w:p>
        </w:tc>
      </w:tr>
      <w:tr w:rsidR="00E24897" w:rsidTr="00E30EAE">
        <w:trPr>
          <w:trHeight w:val="515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Memuat Laporan Rekening di Aplikasi CekRekening dengan Bank Mandiri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Bandung, 26 Agustus 2022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 s.d. 19 Agustus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E30EAE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pPr>
              <w:rPr>
                <w:i/>
              </w:rPr>
            </w:pPr>
            <w:r w:rsidRPr="00243BBB">
              <w:t>Melanjutkan 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HARI LIBUR KEMERDEKAAN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</w:p>
        </w:tc>
      </w:tr>
      <w:tr w:rsidR="00E24897" w:rsidTr="00E30EAE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Dokumen User Manual Layanan Jasa Navigasi Izin Perpanjangan Jangka Waktu Pemanfaatan Bangunan dan atau Instalasi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Testing Aplikasi SEHATI 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Bandung, 26 Agustus 2022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E30EAE">
        <w:tc>
          <w:tcPr>
            <w:tcW w:w="2970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 w:line="240" w:lineRule="auto"/>
      </w:pPr>
    </w:p>
    <w:p w:rsidR="00E24897" w:rsidRDefault="00E24897" w:rsidP="00E24897">
      <w:pPr>
        <w:spacing w:after="0" w:line="240" w:lineRule="auto"/>
      </w:pPr>
      <w:r>
        <w:br w:type="page"/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E24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E30EAE">
        <w:tc>
          <w:tcPr>
            <w:tcW w:w="2830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E30EAE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E30EA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 w:rsidR="00CE243E">
              <w:rPr>
                <w:sz w:val="24"/>
                <w:szCs w:val="24"/>
              </w:rPr>
              <w:t>/</w:t>
            </w:r>
            <w:r w:rsidR="00CE243E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22 s.d. 26 Agustus 2022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E30EAE">
        <w:tc>
          <w:tcPr>
            <w:tcW w:w="772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E30EA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E30EAE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E30EAE">
        <w:trPr>
          <w:trHeight w:val="69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User Manual Layanan Izin Membangun Kabel Saluran Udara atau SUTT atau Jembatan diatas Perairan</w:t>
            </w:r>
            <w:r>
              <w:t xml:space="preserve"> dan </w:t>
            </w:r>
            <w:r w:rsidRPr="00243BBB"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752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Melanjutkan Membuat User Manual Layanan Jasa Navigasi Izin Membongkar Bangunan dan atau Instansi</w:t>
            </w:r>
            <w:r>
              <w:t xml:space="preserve">, </w:t>
            </w:r>
            <w:r w:rsidRPr="00243BBB">
              <w:t>Layanan Izin Membangun Kabel Saluran Udara atau SUTT atau Jembatan diatas Perairan</w:t>
            </w:r>
            <w:r>
              <w:t xml:space="preserve"> dan Layanan </w:t>
            </w:r>
            <w:r w:rsidRPr="00243BBB">
              <w:t>Jasa Navigasi Izin Perpanjangan Jangka Waktu Pemanfaatan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12.00</w:t>
            </w:r>
          </w:p>
        </w:tc>
      </w:tr>
      <w:tr w:rsidR="00E24897" w:rsidTr="00E30EAE">
        <w:trPr>
          <w:trHeight w:val="315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Isu Layanan Izin Membongkar Bangunan dan atau Instalasi</w:t>
            </w:r>
            <w:r>
              <w:t xml:space="preserve"> dan </w:t>
            </w:r>
            <w:r w:rsidRPr="00243BBB">
              <w:t>Layanan Izin Membangun Kabel Saluran Udara atau SUTT atau Jembatan diatas Perairan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13.00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Pr="00243BBB">
              <w:rPr>
                <w:bCs/>
              </w:rPr>
              <w:t>.00</w:t>
            </w:r>
          </w:p>
        </w:tc>
      </w:tr>
      <w:tr w:rsidR="00E24897" w:rsidTr="00E30EA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Laporan Pengaduhan Rekening di Aplikasi CekRekening dengan Bank Mandiri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>
              <w:rPr>
                <w:bCs/>
              </w:rPr>
              <w:t>15.0</w:t>
            </w:r>
            <w:r w:rsidRPr="00243BBB">
              <w:rPr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E30EAE">
        <w:trPr>
          <w:trHeight w:val="843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Membuat Laporan Bulanan Kegiatan Support dan Pemeliharaan Sistem Bulan Juli</w:t>
            </w:r>
            <w:r>
              <w:t xml:space="preserve"> dan </w:t>
            </w:r>
            <w:r w:rsidRPr="00243BBB">
              <w:t>Membuat Dokumen Manual Pengguna CekRekening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14.00</w:t>
            </w:r>
          </w:p>
        </w:tc>
      </w:tr>
      <w:tr w:rsidR="00E24897" w:rsidTr="00E24897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Belajar Mandiri Tentang PHPMVC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</w:pPr>
            <w:r w:rsidRPr="00243BBB">
              <w:t>17.00</w:t>
            </w:r>
          </w:p>
        </w:tc>
      </w:tr>
      <w:tr w:rsidR="00E24897" w:rsidTr="00E30EAE">
        <w:trPr>
          <w:trHeight w:val="981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E30EAE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E30EAE">
            <w:r w:rsidRPr="00243BBB">
              <w:t>Melanjutkan Belajar Mandiri Tentang PHPMVC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E30EAE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E2489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E24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E2489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E2489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5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</w:tblGrid>
      <w:tr w:rsidR="00E24897" w:rsidTr="00E30EAE">
        <w:tc>
          <w:tcPr>
            <w:tcW w:w="2872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Bandung, 26 Agustus 2022</w:t>
            </w:r>
          </w:p>
        </w:tc>
      </w:tr>
      <w:tr w:rsidR="00E24897" w:rsidTr="00E30EAE">
        <w:tc>
          <w:tcPr>
            <w:tcW w:w="2872" w:type="dxa"/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E30EAE">
        <w:tc>
          <w:tcPr>
            <w:tcW w:w="2872" w:type="dxa"/>
          </w:tcPr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E30EAE">
            <w:pPr>
              <w:rPr>
                <w:b/>
                <w:sz w:val="24"/>
                <w:szCs w:val="24"/>
              </w:rPr>
            </w:pPr>
          </w:p>
        </w:tc>
      </w:tr>
      <w:tr w:rsidR="00E24897" w:rsidRPr="00454745" w:rsidTr="00E3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RPr="00454745" w:rsidTr="00E30E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E24897" w:rsidRPr="00454745" w:rsidRDefault="00E24897" w:rsidP="00E30EAE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E24897">
      <w:pPr>
        <w:spacing w:after="0" w:line="240" w:lineRule="auto"/>
      </w:pPr>
    </w:p>
    <w:sectPr w:rsidR="00E24897" w:rsidSect="002158FF">
      <w:headerReference w:type="default" r:id="rId8"/>
      <w:type w:val="continuous"/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AC8" w:rsidRDefault="00D73AC8" w:rsidP="00E24897">
      <w:pPr>
        <w:spacing w:after="0" w:line="240" w:lineRule="auto"/>
      </w:pPr>
      <w:r>
        <w:separator/>
      </w:r>
    </w:p>
  </w:endnote>
  <w:endnote w:type="continuationSeparator" w:id="0">
    <w:p w:rsidR="00D73AC8" w:rsidRDefault="00D73AC8" w:rsidP="00E2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AC8" w:rsidRDefault="00D73AC8" w:rsidP="00E24897">
      <w:pPr>
        <w:spacing w:after="0" w:line="240" w:lineRule="auto"/>
      </w:pPr>
      <w:r>
        <w:separator/>
      </w:r>
    </w:p>
  </w:footnote>
  <w:footnote w:type="continuationSeparator" w:id="0">
    <w:p w:rsidR="00D73AC8" w:rsidRDefault="00D73AC8" w:rsidP="00E2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080" w:type="dxa"/>
      <w:tblInd w:w="-5" w:type="dxa"/>
      <w:tblLook w:val="04A0" w:firstRow="1" w:lastRow="0" w:firstColumn="1" w:lastColumn="0" w:noHBand="0" w:noVBand="1"/>
    </w:tblPr>
    <w:tblGrid>
      <w:gridCol w:w="8080"/>
    </w:tblGrid>
    <w:tr w:rsidR="007964FE" w:rsidTr="000D5241">
      <w:trPr>
        <w:trHeight w:val="410"/>
      </w:trPr>
      <w:tc>
        <w:tcPr>
          <w:tcW w:w="8080" w:type="dxa"/>
        </w:tcPr>
        <w:p w:rsidR="007964FE" w:rsidRPr="002E25B3" w:rsidRDefault="003101B2" w:rsidP="007964FE">
          <w:pPr>
            <w:pStyle w:val="Header"/>
            <w:rPr>
              <w:iCs/>
            </w:rPr>
          </w:pPr>
          <w:r w:rsidRPr="0086640B">
            <w:rPr>
              <w:b/>
              <w:sz w:val="24"/>
              <w:lang w:val="id-ID"/>
            </w:rPr>
            <w:t xml:space="preserve">LAMPIRAN </w:t>
          </w:r>
          <w:r>
            <w:rPr>
              <w:b/>
              <w:sz w:val="24"/>
            </w:rPr>
            <w:t>2</w:t>
          </w:r>
          <w:r w:rsidRPr="0086640B">
            <w:rPr>
              <w:b/>
              <w:sz w:val="24"/>
              <w:lang w:val="id-ID"/>
            </w:rPr>
            <w:t xml:space="preserve">. </w:t>
          </w:r>
          <w:r w:rsidRPr="0086640B">
            <w:rPr>
              <w:b/>
              <w:i/>
              <w:sz w:val="24"/>
              <w:lang w:val="id-ID"/>
            </w:rPr>
            <w:t>FORM</w:t>
          </w:r>
          <w:r>
            <w:rPr>
              <w:b/>
              <w:i/>
              <w:sz w:val="24"/>
            </w:rPr>
            <w:t xml:space="preserve"> </w:t>
          </w:r>
          <w:r>
            <w:rPr>
              <w:b/>
              <w:iCs/>
              <w:sz w:val="24"/>
            </w:rPr>
            <w:t>LAPORAN KEGIATAN</w:t>
          </w:r>
        </w:p>
      </w:tc>
    </w:tr>
  </w:tbl>
  <w:p w:rsidR="007964FE" w:rsidRDefault="00D73AC8" w:rsidP="007964FE">
    <w:pPr>
      <w:pStyle w:val="Header"/>
    </w:pPr>
  </w:p>
  <w:p w:rsidR="007964FE" w:rsidRDefault="00D73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F2" w:rsidRDefault="00D73AC8" w:rsidP="007964FE">
    <w:pPr>
      <w:pStyle w:val="Header"/>
    </w:pPr>
  </w:p>
  <w:p w:rsidR="00BF4CF2" w:rsidRDefault="00D73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97"/>
    <w:rsid w:val="003101B2"/>
    <w:rsid w:val="00550979"/>
    <w:rsid w:val="007317AC"/>
    <w:rsid w:val="00770E81"/>
    <w:rsid w:val="008536A6"/>
    <w:rsid w:val="00AA58F0"/>
    <w:rsid w:val="00CE243E"/>
    <w:rsid w:val="00D73AC8"/>
    <w:rsid w:val="00E24897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A8EDB-AC50-4E1B-84AC-935B4864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2489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97"/>
  </w:style>
  <w:style w:type="paragraph" w:styleId="Footer">
    <w:name w:val="footer"/>
    <w:basedOn w:val="Normal"/>
    <w:link w:val="FooterChar"/>
    <w:uiPriority w:val="99"/>
    <w:unhideWhenUsed/>
    <w:rsid w:val="00E2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2</cp:revision>
  <dcterms:created xsi:type="dcterms:W3CDTF">2022-08-31T07:33:00Z</dcterms:created>
  <dcterms:modified xsi:type="dcterms:W3CDTF">2022-08-31T08:11:00Z</dcterms:modified>
</cp:coreProperties>
</file>