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with experience in systematic signal development, validation, and portfolio risk analytics. Built robust research systems for feature testing and model iteration with clear governance, including digital-asset relevant risk framing. Interested in cross-asset quant research roles (Research 90% / Trader 10%).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In internal Agentic Hedgefund simulation contexts, owned PM-style portfolio decision loops from signal selection to risk-aware allocation review.</w:t>
      </w:r>
    </w:p>
    <w:p>
      <w:pPr>
        <w:pStyle w:val="ListBullet"/>
      </w:pPr>
      <w:r>
        <w:t>Built an autonomous research workflow for signal ideation, backtesting, and validation.</w:t>
      </w:r>
    </w:p>
    <w:p>
      <w:pPr>
        <w:pStyle w:val="ListBullet"/>
      </w:pPr>
      <w:r>
        <w:t>Developed diversified alpha candidates with formal validation; best strategy set reached backtested Sharpe 2.8.</w:t>
      </w:r>
    </w:p>
    <w:p>
      <w:pPr>
        <w:pStyle w:val="ListBullet"/>
      </w:pPr>
      <w:r>
        <w:t>Supported live model research and monitoring for a US equity growth mutual fund (peak AUM: $22M), contributing to +39% cumulative return and +9% alpha vs S&amp;P 500 over 16 months.</w:t>
      </w:r>
    </w:p>
    <w:p>
      <w:pPr>
        <w:pStyle w:val="ListBullet"/>
      </w:pPr>
      <w:r>
        <w:t>Implemented high-dimensional fundamental alpha pipeline using XGBoost and cross-sectional ranking.</w:t>
      </w:r>
    </w:p>
    <w:p>
      <w:pPr>
        <w:pStyle w:val="ListBullet"/>
      </w:pPr>
      <w:r>
        <w:t>Supported portfolio construction and risk analysis with mean-variance optimization.</w:t>
      </w:r>
    </w:p>
    <w:p>
      <w:pPr>
        <w:pStyle w:val="ListBullet"/>
      </w:pPr>
      <w:r>
        <w:t>Built event-driven backtest architecture with ~10x runtime gain to scale research iteration.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Statistical ML work in CERN CMS; large-scale distributed deep learning (1,000+ nodes).</w:t>
      </w:r>
    </w:p>
    <w:p>
      <w:pPr>
        <w:pStyle w:val="ListBullet"/>
      </w:pPr>
      <w:r>
        <w:t>Best Paper Awards (2020, 2021); ACAT 2021 publication.</w:t>
      </w:r>
    </w:p>
    <w:p/>
    <w:p>
      <w:pPr>
        <w:pStyle w:val="Heading2"/>
      </w:pPr>
      <w:r>
        <w:t>SKILLS</w:t>
      </w:r>
    </w:p>
    <w:p>
      <w:r>
        <w:t>Python, SQL, Shell | XGBoost, PyTorch, scikit-learn, pandas, polars, NumPy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