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Singapore research-heavy quant roles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interactive quant dashboard and contributed to strategic MOU with Daol Asset Management via systematic model robustness validation.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p>
      <w:r>
        <w:t>Target Company Fit: Jump Trading – research-to-trading loop with strong model validation and production-grade experimentation.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