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Singapore research-heavy quant roles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interactive quant dashboard and contributed to strategic MOU with Daol Asset Management via systematic model robustness validation.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p>
      <w:r>
        <w:t>Target Company Fit: Millennium – equity systematic research with strong signal validation, risk controls, and portfolio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