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JIWOONG KIM</w:t>
      </w:r>
    </w:p>
    <w:p>
      <w:pPr>
        <w:spacing w:after="40"/>
        <w:jc w:val="center"/>
      </w:pPr>
      <w:r>
        <w:t>Seoul, Korea | [placeholder_email] | [placeholder_phone] | [placeholder_linkedin]</w:t>
      </w:r>
    </w:p>
    <w:p>
      <w:pPr>
        <w:spacing w:before="200" w:after="80"/>
      </w:pPr>
      <w:r>
        <w:rPr>
          <w:b/>
          <w:sz w:val="22"/>
        </w:rPr>
        <w:t>SUMMARY</w:t>
      </w:r>
    </w:p>
    <w:p>
      <w:pPr>
        <w:spacing w:after="40"/>
      </w:pPr>
      <w:r>
        <w:t>Quantitative Researcher with a Ph.D. in Physics and hands-on experience building systematic equity signals deployed to live portfolios. At Alpha Bridge, contributed ML-driven alpha research for a US equity fund (34B KRW AUM) that delivered +43.54% cumulative return. Background in large-scale distributed computing (1,024-node HPC), deep learning, and rigorous model validation. Seeking to apply systematic alpha research methods within a collaborative, SPM-led equity team with strict risk and performance standards.</w:t>
      </w:r>
    </w:p>
    <w:p>
      <w:pPr>
        <w:spacing w:before="200" w:after="80"/>
      </w:pPr>
      <w:r>
        <w:rPr>
          <w:b/>
          <w:sz w:val="22"/>
        </w:rPr>
        <w:t>EXPERIENCE</w:t>
      </w:r>
    </w:p>
    <w:p>
      <w:pPr>
        <w:spacing w:before="120" w:after="40"/>
      </w:pPr>
      <w:r>
        <w:rPr>
          <w:b/>
          <w:sz w:val="21"/>
        </w:rPr>
        <w:t>Quantitative Developer / Researcher | Alpha Bridge (formerly Asset Plus AM), Seoul</w:t>
      </w:r>
    </w:p>
    <w:p>
      <w:pPr>
        <w:spacing w:after="40"/>
      </w:pPr>
      <w:r>
        <w:rPr>
          <w:b/>
          <w:sz w:val="20"/>
        </w:rPr>
        <w:t>Jan 2024 – Present</w:t>
      </w:r>
    </w:p>
    <w:p>
      <w:pPr>
        <w:spacing w:after="40"/>
      </w:pPr>
      <w:r>
        <w:rPr>
          <w:b/>
          <w:sz w:val="20"/>
        </w:rPr>
        <w:t>Systematic Equity Alpha Research (L1 — Live Production)</w:t>
      </w:r>
    </w:p>
    <w:p>
      <w:pPr>
        <w:pStyle w:val="ListBullet"/>
        <w:spacing w:after="20" w:before="20"/>
      </w:pPr>
      <w:r>
        <w:rPr>
          <w:sz w:val="20"/>
        </w:rPr>
        <w:t>Contributed signal research and model development for the S&amp;P 500 Growth fund (peak AUM 34B KRW), which achieved +43.54% cumulative return over the evaluation period.</w:t>
      </w:r>
    </w:p>
    <w:p>
      <w:pPr>
        <w:pStyle w:val="ListBullet"/>
        <w:spacing w:after="20" w:before="20"/>
      </w:pPr>
      <w:r>
        <w:rPr>
          <w:sz w:val="20"/>
        </w:rPr>
        <w:t>Built XGBoost-based cross-sectional alpha models on high-dimensional fundamental data, selecting features via statistical significance and out-of-sample stability.</w:t>
      </w:r>
    </w:p>
    <w:p>
      <w:pPr>
        <w:pStyle w:val="ListBullet"/>
        <w:spacing w:after="20" w:before="20"/>
      </w:pPr>
      <w:r>
        <w:rPr>
          <w:sz w:val="20"/>
        </w:rPr>
        <w:t>Implemented mean-variance optimization supporting portfolio construction; applied sector and factor exposure constraints aligned with PM risk budgets.</w:t>
      </w:r>
    </w:p>
    <w:p>
      <w:pPr>
        <w:pStyle w:val="ListBullet"/>
        <w:spacing w:after="20" w:before="20"/>
      </w:pPr>
      <w:r>
        <w:rPr>
          <w:sz w:val="20"/>
        </w:rPr>
        <w:t>Developed event-driven backtesting engine with ~10x throughput improvement, enabling faster iteration on signal hypotheses.</w:t>
      </w:r>
    </w:p>
    <w:p>
      <w:pPr>
        <w:spacing w:after="40"/>
      </w:pPr>
      <w:r>
        <w:rPr>
          <w:b/>
          <w:sz w:val="20"/>
        </w:rPr>
        <w:t>Research Automation &amp; Signal Discovery (L2/L3 — Frontier)</w:t>
      </w:r>
    </w:p>
    <w:p>
      <w:pPr>
        <w:pStyle w:val="ListBullet"/>
        <w:spacing w:after="20" w:before="20"/>
      </w:pPr>
      <w:r>
        <w:rPr>
          <w:sz w:val="20"/>
        </w:rPr>
        <w:t>Designed multi-agent research pipeline generating 500+ signal candidates per day, each with automated backtest, Sharpe estimation, and regime-conditional evaluation.</w:t>
      </w:r>
    </w:p>
    <w:p>
      <w:pPr>
        <w:pStyle w:val="ListBullet"/>
        <w:spacing w:after="20" w:before="20"/>
      </w:pPr>
      <w:r>
        <w:rPr>
          <w:sz w:val="20"/>
        </w:rPr>
        <w:t>Applied strict pre-deployment kill rules: rejected strategies reliant on in-sample overfitting, narrow parameter peaks, or unstable factor loadings.</w:t>
      </w:r>
    </w:p>
    <w:p>
      <w:pPr>
        <w:pStyle w:val="ListBullet"/>
        <w:spacing w:after="20" w:before="20"/>
      </w:pPr>
      <w:r>
        <w:rPr>
          <w:sz w:val="20"/>
        </w:rPr>
        <w:t>Top validated signal set reached backtested Sharpe 2.8 with low cross-correlation to existing book.</w:t>
      </w:r>
    </w:p>
    <w:p>
      <w:pPr>
        <w:spacing w:after="40"/>
      </w:pPr>
      <w:r>
        <w:rPr>
          <w:b/>
          <w:sz w:val="20"/>
        </w:rPr>
        <w:t>PM Support &amp; Risk Analytics</w:t>
      </w:r>
    </w:p>
    <w:p>
      <w:pPr>
        <w:pStyle w:val="ListBullet"/>
        <w:spacing w:after="20" w:before="20"/>
      </w:pPr>
      <w:r>
        <w:rPr>
          <w:sz w:val="20"/>
        </w:rPr>
        <w:t>Translated model uncertainty into decision-ready ranges via parameter sensitivity analysis and regime stress tests.</w:t>
      </w:r>
    </w:p>
    <w:p>
      <w:pPr>
        <w:pStyle w:val="ListBullet"/>
        <w:spacing w:after="20" w:before="20"/>
      </w:pPr>
      <w:r>
        <w:rPr>
          <w:sz w:val="20"/>
        </w:rPr>
        <w:t>Conducted live PnL attribution and risk decomposition to support portfolio manager review cycles.</w:t>
      </w:r>
    </w:p>
    <w:p>
      <w:pPr>
        <w:spacing w:before="200" w:after="80"/>
      </w:pPr>
      <w:r>
        <w:rPr>
          <w:b/>
          <w:sz w:val="22"/>
        </w:rPr>
        <w:t>EDUCATION</w:t>
      </w:r>
    </w:p>
    <w:p>
      <w:pPr>
        <w:spacing w:before="120" w:after="40"/>
      </w:pPr>
      <w:r>
        <w:rPr>
          <w:b/>
          <w:sz w:val="21"/>
        </w:rPr>
        <w:t>Ph.D. in Physics | Yonsei University, Seoul | 2019 – 2023</w:t>
      </w:r>
    </w:p>
    <w:p>
      <w:pPr>
        <w:pStyle w:val="ListBullet"/>
        <w:spacing w:after="20" w:before="20"/>
      </w:pPr>
      <w:r>
        <w:rPr>
          <w:sz w:val="20"/>
        </w:rPr>
        <w:t>Thesis: CNN-based classification for CERN CMS experiment; achieved 1.85× signal efficiency improvement over conventional methods.</w:t>
      </w:r>
    </w:p>
    <w:p>
      <w:pPr>
        <w:pStyle w:val="ListBullet"/>
        <w:spacing w:after="20" w:before="20"/>
      </w:pPr>
      <w:r>
        <w:rPr>
          <w:sz w:val="20"/>
        </w:rPr>
        <w:t>Distributed deep learning across 1,024 GPU nodes; optimized training throughput for large-scale physics simulation data.</w:t>
      </w:r>
    </w:p>
    <w:p>
      <w:pPr>
        <w:spacing w:before="120" w:after="40"/>
      </w:pPr>
      <w:r>
        <w:rPr>
          <w:b/>
          <w:sz w:val="21"/>
        </w:rPr>
        <w:t>M.S. in Physics | [placeholder_university] | [placeholder_years]</w:t>
      </w:r>
    </w:p>
    <w:p>
      <w:pPr>
        <w:spacing w:before="120" w:after="40"/>
      </w:pPr>
      <w:r>
        <w:rPr>
          <w:b/>
          <w:sz w:val="21"/>
        </w:rPr>
        <w:t>B.S. in Physics | [placeholder_university] | [placeholder_years]</w:t>
      </w:r>
    </w:p>
    <w:p>
      <w:pPr>
        <w:spacing w:before="200" w:after="80"/>
      </w:pPr>
      <w:r>
        <w:rPr>
          <w:b/>
          <w:sz w:val="22"/>
        </w:rPr>
        <w:t>PUBLICATIONS &amp; AWARDS</w:t>
      </w:r>
    </w:p>
    <w:p>
      <w:pPr>
        <w:pStyle w:val="ListBullet"/>
        <w:spacing w:after="20" w:before="20"/>
      </w:pPr>
      <w:r>
        <w:rPr>
          <w:sz w:val="20"/>
        </w:rPr>
        <w:t>Publication: J. Phys.: Conf. Ser. 2438 (2023) — Deep learning for high-energy physics event classification</w:t>
      </w:r>
    </w:p>
    <w:p>
      <w:pPr>
        <w:pStyle w:val="ListBullet"/>
        <w:spacing w:after="20" w:before="20"/>
      </w:pPr>
      <w:r>
        <w:rPr>
          <w:sz w:val="20"/>
        </w:rPr>
        <w:t>Best Paper Award — Korean Society for Computational Science and Engineering (KSCSE), 2021</w:t>
      </w:r>
    </w:p>
    <w:p>
      <w:pPr>
        <w:pStyle w:val="ListBullet"/>
        <w:spacing w:after="20" w:before="20"/>
      </w:pPr>
      <w:r>
        <w:rPr>
          <w:sz w:val="20"/>
        </w:rPr>
        <w:t>Best Poster Award — Korean Physical Society (KPS), 2020</w:t>
      </w:r>
    </w:p>
    <w:p>
      <w:pPr>
        <w:spacing w:before="200" w:after="80"/>
      </w:pPr>
      <w:r>
        <w:rPr>
          <w:b/>
          <w:sz w:val="22"/>
        </w:rPr>
        <w:t>TECHNICAL SKILLS</w:t>
      </w:r>
    </w:p>
    <w:p>
      <w:pPr>
        <w:pStyle w:val="ListBullet"/>
        <w:spacing w:after="20" w:before="20"/>
      </w:pPr>
      <w:r>
        <w:rPr>
          <w:sz w:val="20"/>
        </w:rPr>
        <w:t>Languages: Python, SQL, Shell</w:t>
      </w:r>
    </w:p>
    <w:p>
      <w:pPr>
        <w:pStyle w:val="ListBullet"/>
        <w:spacing w:after="20" w:before="20"/>
      </w:pPr>
      <w:r>
        <w:rPr>
          <w:sz w:val="20"/>
        </w:rPr>
        <w:t>ML/Statistics: PyTorch, TensorFlow, XGBoost, scikit-learn, statsmodels</w:t>
      </w:r>
    </w:p>
    <w:p>
      <w:pPr>
        <w:pStyle w:val="ListBullet"/>
        <w:spacing w:after="20" w:before="20"/>
      </w:pPr>
      <w:r>
        <w:rPr>
          <w:sz w:val="20"/>
        </w:rPr>
        <w:t>Data: pandas, polars, NumPy, SQL</w:t>
      </w:r>
    </w:p>
    <w:p>
      <w:pPr>
        <w:pStyle w:val="ListBullet"/>
        <w:spacing w:after="20" w:before="20"/>
      </w:pPr>
      <w:r>
        <w:rPr>
          <w:sz w:val="20"/>
        </w:rPr>
        <w:t>Infrastructure: Docker, Git, Linux, HPC (SLURM), distributed training</w:t>
      </w:r>
    </w:p>
    <w:p>
      <w:pPr>
        <w:pStyle w:val="ListBullet"/>
        <w:spacing w:after="20" w:before="20"/>
      </w:pPr>
      <w:r>
        <w:rPr>
          <w:sz w:val="20"/>
        </w:rPr>
        <w:t>Research Tools: Backtesting frameworks (custom), portfolio optimization, risk analytics</w:t>
      </w:r>
    </w:p>
    <w:p>
      <w:pPr>
        <w:spacing w:before="200" w:after="80"/>
      </w:pPr>
      <w:r>
        <w:rPr>
          <w:b/>
          <w:sz w:val="22"/>
        </w:rPr>
        <w:t>ADDITIONAL CONTEXT</w:t>
      </w:r>
    </w:p>
    <w:p>
      <w:pPr>
        <w:pStyle w:val="ListBullet"/>
        <w:spacing w:after="20" w:before="20"/>
      </w:pPr>
      <w:r>
        <w:rPr>
          <w:sz w:val="20"/>
        </w:rPr>
        <w:t>Based in Seoul; available to relocate to Singapore.</w:t>
      </w:r>
    </w:p>
    <w:p>
      <w:pPr>
        <w:pStyle w:val="ListBullet"/>
        <w:spacing w:after="20" w:before="20"/>
      </w:pPr>
      <w:r>
        <w:rPr>
          <w:sz w:val="20"/>
        </w:rPr>
        <w:t>Primary experience in US equity markets; motivated to extend systematic research methods to Asian equity markets, leveraging proximity and regional market knowledge from Seoul.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