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JIWOONG KIM</w:t>
      </w:r>
      <w:r>
        <w:t xml:space="preserve"> </w:t>
      </w:r>
      <w:r>
        <w:t xml:space="preserve">Seoul, Korea jkimak1124@gmail.com +82-10-9733-2847 linkedin.com/in/jiwoong-kim-b9934417a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Quantitative Developer (Ph.D. Particle Physics) who built a firm’s systematic research capability from the ground up — from first ML model to a multi-style portfolio generation pipeline to an agentic alpha factory generating 500+ strategy ideas per day. Evidence-based, transparent approach to every stage: data pipeline → signal research → portfolio construction → risk monitoring. Seeking to enable PM-led systematic investment as part of a principled, research-driven team operating across APAC markets.</w:t>
      </w:r>
    </w:p>
    <w:p>
      <w:pPr>
        <w:pStyle w:val="BodyText"/>
      </w:pPr>
      <w:r>
        <w:t xml:space="preserve">EXPERIENCE</w:t>
      </w:r>
      <w:r>
        <w:t xml:space="preserve"> </w:t>
      </w:r>
      <w:r>
        <w:t xml:space="preserve">Quantitative Developer / Researcher | Alpha Bridge (formerly Asset Plus AM), Seoul Jan 2024 – Present</w:t>
      </w:r>
      <w:r>
        <w:t xml:space="preserve"> </w:t>
      </w:r>
      <w:r>
        <w:t xml:space="preserve">Systematic Research Automation — 3-Level Architecture</w:t>
      </w:r>
    </w:p>
    <w:p>
      <w:pPr>
        <w:pStyle w:val="BodyText"/>
      </w:pPr>
      <w:r>
        <w:t xml:space="preserve">Level 1 — ML Integration &amp; Live Deployment</w:t>
      </w:r>
      <w:r>
        <w:t xml:space="preserve"> </w:t>
      </w:r>
      <w:r>
        <w:t xml:space="preserve">Introduced ML to a firm previously dependent on discretionary judgment; built and launched XGBoost + fundamental-data strategy stack for S&amp;P500 Growth Mutual Fund (KRW 3.4B); 16-month live operation experience with real capital deployment, with full ownership of signal pipeline, risk monitoring, exposure tracking, and execution support.</w:t>
      </w:r>
      <w:r>
        <w:t xml:space="preserve"> </w:t>
      </w:r>
      <w:r>
        <w:t xml:space="preserve">Collaborated directly with PM to translate alpha ideas into production-ready models; maintained transparent decision logs linking every signal change to supporting evidence.</w:t>
      </w:r>
      <w:r>
        <w:t xml:space="preserve"> </w:t>
      </w:r>
      <w:r>
        <w:t xml:space="preserve">Built portfolio exposure monitoring dashboards and performance attribution tooling to surface factor/sector decomposition for PM review.</w:t>
      </w:r>
      <w:r>
        <w:t xml:space="preserve"> </w:t>
      </w:r>
      <w:r>
        <w:t xml:space="preserve">Participated in cross-functional TF to redesign event-driven backtesting infrastructure, achieving ~10x runtime improvement and eliminating look-ahead bias from legacy processes.</w:t>
      </w:r>
    </w:p>
    <w:p>
      <w:pPr>
        <w:pStyle w:val="BodyText"/>
      </w:pPr>
      <w:r>
        <w:t xml:space="preserve">Level 2 — Multi-Style Portfolio Generation Pipeline &amp; Institutional Validation</w:t>
      </w:r>
      <w:r>
        <w:t xml:space="preserve"> </w:t>
      </w:r>
      <w:r>
        <w:t xml:space="preserve">Used LLM to auto-generate diverse investment objective functions (labels), systematically exploring multiple strategy variants reflecting different risk-return targets within the same feature space.</w:t>
      </w:r>
      <w:r>
        <w:t xml:space="preserve"> </w:t>
      </w:r>
      <w:r>
        <w:t xml:space="preserve">Performed independent backtesting for each label variant and mapped results onto the risk-return plane to visualize the efficient frontier.</w:t>
      </w:r>
      <w:r>
        <w:t xml:space="preserve"> </w:t>
      </w:r>
      <w:r>
        <w:t xml:space="preserve">Built an interactive decision framework enabling clients to select optimal portfolios on the efficient frontier according to their risk preferences.</w:t>
      </w:r>
      <w:r>
        <w:t xml:space="preserve"> </w:t>
      </w:r>
      <w:r>
        <w:t xml:space="preserve">Incorporated macroeconomic signals (interest rates, FX) as conditioning variables in factor models; actively researching systematic macro overlay for cross-asset regime detection.</w:t>
      </w:r>
      <w:r>
        <w:t xml:space="preserve"> </w:t>
      </w:r>
      <w:r>
        <w:t xml:space="preserve">Designed production alerting and failover mechanisms ensuring pipeline reliability across daily batch runs and intraday risk checks.</w:t>
      </w:r>
      <w:r>
        <w:t xml:space="preserve"> </w:t>
      </w:r>
      <w:r>
        <w:t xml:space="preserve">Model robustness validated externally — secured MOU with Daol Asset Management based on demonstrated systematic strategy performance.</w:t>
      </w:r>
    </w:p>
    <w:p>
      <w:pPr>
        <w:pStyle w:val="BodyText"/>
      </w:pPr>
      <w:r>
        <w:t xml:space="preserve">Level 3 — Agentic Alpha Factory (Team Lead)</w:t>
      </w:r>
      <w:r>
        <w:t xml:space="preserve"> </w:t>
      </w:r>
      <w:r>
        <w:t xml:space="preserve">Architected multi-agent</w:t>
      </w:r>
      <w:r>
        <w:t xml:space="preserve"> </w:t>
      </w:r>
      <w:r>
        <w:t xml:space="preserve">“AI PodShop”</w:t>
      </w:r>
      <w:r>
        <w:t xml:space="preserve"> </w:t>
      </w:r>
      <w:r>
        <w:t xml:space="preserve">(Claude Agent SDK + ClaudeCode) running 8 parallel pods generating 500+ strategy ideas per day; migrated from DSL to 100% raw code generation; engineered agent-continuity solution prior to Ralph Loop availability.</w:t>
      </w:r>
      <w:r>
        <w:t xml:space="preserve"> </w:t>
      </w:r>
      <w:r>
        <w:t xml:space="preserve">Developed alpha synthesis strategies and factor-neutralized models.</w:t>
      </w:r>
      <w:r>
        <w:t xml:space="preserve"> </w:t>
      </w:r>
      <w:r>
        <w:t xml:space="preserve">Korean equity market expansion in progress — KOSPI/KOSDAQ data pipelines with trading halt, delisting, short-sale constraint handling, stamp tax modeling, and look-ahead bias controls.</w:t>
      </w:r>
    </w:p>
    <w:p>
      <w:pPr>
        <w:pStyle w:val="BodyText"/>
      </w:pPr>
      <w:r>
        <w:t xml:space="preserve">EDUCATION</w:t>
      </w:r>
      <w:r>
        <w:t xml:space="preserve"> </w:t>
      </w:r>
      <w:r>
        <w:t xml:space="preserve">Ph.D. in Particle Physics · Kyungpook National University 2019 – 2024</w:t>
      </w:r>
      <w:r>
        <w:t xml:space="preserve"> </w:t>
      </w:r>
      <w:r>
        <w:t xml:space="preserve">M.S. in Particle Physics · Kyungpook National University 2017 – 2019</w:t>
      </w:r>
      <w:r>
        <w:t xml:space="preserve"> </w:t>
      </w:r>
      <w:r>
        <w:t xml:space="preserve">B.S. in Physics · Kyungpook National University 2013 – 2017</w:t>
      </w:r>
    </w:p>
    <w:p>
      <w:pPr>
        <w:pStyle w:val="BodyText"/>
      </w:pPr>
      <w:r>
        <w:t xml:space="preserve">SKILLS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Languages:</w:t>
      </w:r>
      <w:r>
        <w:t xml:space="preserve"> </w:t>
      </w:r>
      <w:r>
        <w:t xml:space="preserve">Python, SQL, Shell (Linux/macOS); willingness to expand to Scala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ML / Stats:</w:t>
      </w:r>
      <w:r>
        <w:t xml:space="preserve"> </w:t>
      </w:r>
      <w:r>
        <w:t xml:space="preserve">XGBoost, PyTorch, scikit-learn, pandas, polars, NumPy; Snowflake (familiar)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Tooling:</w:t>
      </w:r>
      <w:r>
        <w:t xml:space="preserve"> </w:t>
      </w:r>
      <w:r>
        <w:t xml:space="preserve">Claude Agent SDK, ClaudeCode, Google ADK; multi-agent orchestration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Quant:</w:t>
      </w:r>
      <w:r>
        <w:t xml:space="preserve"> </w:t>
      </w:r>
      <w:r>
        <w:t xml:space="preserve">Factor models (fundamental + macro-conditioned), signal pipelines, long/short portfolio construction &amp; optimization, performance attribution, exposure monitoring, time-series &amp; cross-sectional analysis, event-driven backtesting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Markets:</w:t>
      </w:r>
      <w:r>
        <w:t xml:space="preserve"> </w:t>
      </w:r>
      <w:r>
        <w:t xml:space="preserve">US equities (live); Korean equities — KOSPI/KOSDAQ microstructure, trading halts, short-sale constraints, stamp tax, financing costs; APAC market dynamics (active research)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Infrastructure:</w:t>
      </w:r>
      <w:r>
        <w:t xml:space="preserve"> </w:t>
      </w:r>
      <w:r>
        <w:t xml:space="preserve">Production pipeline monitoring, alerting &amp; failover design, CI/CD for research-to-deployment workflows</w:t>
      </w:r>
    </w:p>
    <w:p>
      <w:pPr>
        <w:pStyle w:val="BodyText"/>
      </w:pPr>
      <w:r>
        <w:t xml:space="preserve">PUBLICATIONS</w:t>
      </w:r>
      <w:r>
        <w:t xml:space="preserve"> </w:t>
      </w:r>
      <w:r>
        <w:t xml:space="preserve">Kim, J. et al. </w:t>
      </w:r>
      <w:r>
        <w:t xml:space="preserve">“Scalable Deep Learning for LHC proton-proton collision analysis: CNN-based signal/background discrimination achieving x1.85 efficiency gain over cut-based methods at 1024-node HPC scale.”</w:t>
      </w:r>
      <w:r>
        <w:t xml:space="preserve"> </w:t>
      </w:r>
      <w:r>
        <w:t xml:space="preserve">Journal of Physics: Conference Series, 2438 (2023) · doi:10.1088/1742-6596/2438/1/012103</w:t>
      </w:r>
    </w:p>
    <w:p>
      <w:pPr>
        <w:pStyle w:val="BodyText"/>
      </w:pPr>
      <w:r>
        <w:t xml:space="preserve">Best Paper Award, Korean Physical Society (Nov 2020):</w:t>
      </w:r>
      <w:r>
        <w:t xml:space="preserve"> </w:t>
      </w:r>
      <w:r>
        <w:t xml:space="preserve">“R-Parity Violating Supersymmetry Event Classification using Convolutional Neural Network with Large Scale Deep Learning”</w:t>
      </w:r>
      <w:r>
        <w:t xml:space="preserve"> </w:t>
      </w:r>
      <w:r>
        <w:t xml:space="preserve">Best Paper Award, Korean Society for Computational Science and Engineering (Oct 2021):</w:t>
      </w:r>
      <w:r>
        <w:t xml:space="preserve"> </w:t>
      </w:r>
      <w:r>
        <w:t xml:space="preserve">“Multi-Jet Event Classification with Convolutional Neural Network at Large Scale”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2026-03-23T03:04:56Z</dcterms:created>
  <dcterms:modified xsi:type="dcterms:W3CDTF">2026-03-23T03:04:56Z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