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AI-native Quant Researcher (Ph.D. Particle Physics) who builds agentic research engines that automate the full loop from research and development to backtesting and self-feedback. Led model development and productionization for an AI-driven US equity growth mutual fund with 16-month live operation experience with real capital deployment. Targets research-focused quant roles with practical trader collaboration.</w:t>
      </w:r>
    </w:p>
    <w:bookmarkEnd w:id="9"/>
    <w:bookmarkStart w:id="14" w:name="experience"/>
    <w:p>
      <w:pPr>
        <w:pStyle w:val="Heading2"/>
      </w:pPr>
      <w:r>
        <w:t xml:space="preserve">EXPERIENCE</w:t>
      </w:r>
    </w:p>
    <w:bookmarkStart w:id="13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cd27c7dc12c85061f9eee1e9d2742b688b180d8"/>
    <w:p>
      <w:pPr>
        <w:pStyle w:val="Heading4"/>
      </w:pPr>
      <w:r>
        <w:t xml:space="preserve">Level 1 — Launched Firm’s First ML-Based Public Mutual Fund</w:t>
      </w:r>
    </w:p>
    <w:p>
      <w:pPr>
        <w:pStyle w:val="Compact"/>
        <w:numPr>
          <w:ilvl w:val="0"/>
          <w:numId w:val="1001"/>
        </w:numPr>
      </w:pPr>
      <w:r>
        <w:t xml:space="preserve">Led model development, portfolio construction, and performance monitoring for an AI-driven US Equity Growth mutual fund (peak AUM: $22M) with 16-month live operation experience with real capital deployment.</w:t>
      </w:r>
    </w:p>
    <w:p>
      <w:pPr>
        <w:pStyle w:val="Compact"/>
        <w:numPr>
          <w:ilvl w:val="0"/>
          <w:numId w:val="1001"/>
        </w:numPr>
      </w:pPr>
      <w:r>
        <w:t xml:space="preserve">Built a multi-stage alpha pipeline on high-dimensional fundamental data using XGBoost, cross-sectional ranking.</w:t>
      </w:r>
    </w:p>
    <w:p>
      <w:pPr>
        <w:pStyle w:val="Compact"/>
        <w:numPr>
          <w:ilvl w:val="0"/>
          <w:numId w:val="1001"/>
        </w:numPr>
      </w:pPr>
      <w:r>
        <w:t xml:space="preserve">Built an event-driven backtesting framework that improved research run-time by ~10x and reduced look-ahead bias risk in the prior process.</w:t>
      </w:r>
    </w:p>
    <w:bookmarkEnd w:id="10"/>
    <w:bookmarkStart w:id="11" w:name="Xe15b81df61040d989de49f4a3e8587572180c60"/>
    <w:p>
      <w:pPr>
        <w:pStyle w:val="Heading4"/>
      </w:pPr>
      <w:r>
        <w:t xml:space="preserve">Level 2 — Multi-Style Portfolio Generation Pipeline &amp; Institutional Validation</w:t>
      </w:r>
    </w:p>
    <w:p>
      <w:pPr>
        <w:pStyle w:val="Compact"/>
        <w:numPr>
          <w:ilvl w:val="0"/>
          <w:numId w:val="1002"/>
        </w:numPr>
      </w:pPr>
      <w:r>
        <w:t xml:space="preserve">Maintained Level 1’s base ML model while using LLM to auto-generate diverse investment objective functions (labels) — systematically explored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Xf0aa7f7d56cb369bbc311e723b5bcbb248f9035"/>
    <w:p>
      <w:pPr>
        <w:pStyle w:val="Heading4"/>
      </w:pPr>
      <w:r>
        <w:t xml:space="preserve">Level 3 — Automating Research Itself: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Built an autonomous multi-agent quant research workflow (idea generation, backtesting, validation, iteration) with Claude Agent SDK.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models; best validated strategy set reached backtested Sharpe 2.8.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p>
      <w:pPr>
        <w:pStyle w:val="Compact"/>
        <w:numPr>
          <w:ilvl w:val="0"/>
          <w:numId w:val="1003"/>
        </w:numPr>
      </w:pPr>
      <w:r>
        <w:t xml:space="preserve">Designed strategy triage rules that prioritize deployment robustness under tight timelines.</w:t>
      </w:r>
    </w:p>
    <w:p>
      <w:pPr>
        <w:pStyle w:val="Compact"/>
        <w:numPr>
          <w:ilvl w:val="0"/>
          <w:numId w:val="1003"/>
        </w:numPr>
      </w:pPr>
      <w:r>
        <w:t xml:space="preserve">Translated model uncertainty into PM-ready decision ranges using parameter sensitivity analysis, regime stress tests, and out-of-sample stability checks.</w:t>
      </w:r>
    </w:p>
    <w:p>
      <w:pPr>
        <w:pStyle w:val="Compact"/>
        <w:numPr>
          <w:ilvl w:val="0"/>
          <w:numId w:val="1003"/>
        </w:numPr>
      </w:pPr>
      <w:r>
        <w:t xml:space="preserve">Applied strict pre-deployment kill rules, rejecting in-sample-only strategies and models dependent on narrow parameter peaks.</w:t>
      </w:r>
    </w:p>
    <w:p>
      <w:pPr>
        <w:pStyle w:val="Compact"/>
        <w:numPr>
          <w:ilvl w:val="0"/>
          <w:numId w:val="1003"/>
        </w:numPr>
      </w:pPr>
      <w:r>
        <w:t xml:space="preserve">Developed internal quant dashboard tooling for model diagnostics, scenario review, and stakeholder communication.</w:t>
      </w:r>
    </w:p>
    <w:bookmarkEnd w:id="12"/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4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4"/>
        </w:numPr>
      </w:pPr>
      <w:r>
        <w:t xml:space="preserve">B.S. in Physics | Kyungpook National University | 2013 – 2017</w:t>
      </w:r>
    </w:p>
    <w:bookmarkEnd w:id="15"/>
    <w:bookmarkStart w:id="16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5"/>
        </w:numPr>
      </w:pPr>
      <w:r>
        <w:t xml:space="preserve">Statistical modeling and ML for signal/background classification in the CERN CMS experiment.</w:t>
      </w:r>
    </w:p>
    <w:p>
      <w:pPr>
        <w:pStyle w:val="Compact"/>
        <w:numPr>
          <w:ilvl w:val="0"/>
          <w:numId w:val="1005"/>
        </w:numPr>
      </w:pPr>
      <w:r>
        <w:t xml:space="preserve">Led distributed deep learning experiments across 1,000+ computing nodes.</w:t>
      </w:r>
    </w:p>
    <w:p>
      <w:pPr>
        <w:pStyle w:val="Compact"/>
        <w:numPr>
          <w:ilvl w:val="0"/>
          <w:numId w:val="1005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5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5"/>
        </w:numPr>
      </w:pPr>
      <w:r>
        <w:t xml:space="preserve">ACAT 2021 publication.</w:t>
      </w:r>
    </w:p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Google ADK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2026-03-23T03:04:57Z</dcterms:created>
  <dcterms:modified xsi:type="dcterms:W3CDTF">2026-03-23T03:04:57Z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