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1A1A1A"/>
          <w:sz w:val="44"/>
        </w:rPr>
        <w:t>Jiwoong Kim</w:t>
      </w:r>
    </w:p>
    <w:p>
      <w:pPr>
        <w:jc w:val="center"/>
      </w:pPr>
      <w:r>
        <w:rPr>
          <w:b/>
          <w:color w:val="555555"/>
          <w:sz w:val="22"/>
        </w:rPr>
        <w:t>Portfolio Manager / Quantitative Researcher</w:t>
        <w:br/>
      </w:r>
      <w:r>
        <w:rPr>
          <w:color w:val="666666"/>
          <w:sz w:val="20"/>
        </w:rPr>
        <w:t>Seoul, South Korea | Open to relocation (Singapore, Hong Kong)</w:t>
        <w:br/>
      </w:r>
      <w:r>
        <w:rPr>
          <w:color w:val="666666"/>
          <w:sz w:val="20"/>
        </w:rPr>
        <w:t>jkimak1124@gmail.com | +82-10-9733-2847 | linkedin.com/in/jiwoong-kim-b9934417a</w:t>
      </w:r>
    </w:p>
    <w:p>
      <w:pPr>
        <w:pBdr>
          <w:bottom w:val="single" w:sz="4" w:space="1" w:color="2c3e50"/>
        </w:pBdr>
        <w:spacing w:after="40" w:before="120"/>
      </w:pPr>
      <w:r>
        <w:rPr>
          <w:b/>
          <w:color w:val="2C3E50"/>
          <w:sz w:val="24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sz w:val="21"/>
        </w:rPr>
        <w:t>Quantitative researcher and portfolio manager with a PhD in Physics and hands-on experience across the full systematic investment lifecycle — from ML-based signal research through live portfolio management on real AUM. Built and operated a 3-layer research architecture integrating classical ML models, LLM-driven optimization, and autonomous agentic research pipelines. Seeking to bring scalable, AI-native systematic research capability to a leading quantitative platform.</w:t>
      </w:r>
    </w:p>
    <w:p>
      <w:pPr>
        <w:pBdr>
          <w:bottom w:val="single" w:sz="4" w:space="1" w:color="2c3e50"/>
        </w:pBdr>
        <w:spacing w:after="40" w:before="120"/>
      </w:pPr>
      <w:r>
        <w:rPr>
          <w:b/>
          <w:color w:val="2C3E50"/>
          <w:sz w:val="24"/>
        </w:rPr>
        <w:t>PROFESSIONAL EXPERIENCE</w:t>
      </w:r>
    </w:p>
    <w:p>
      <w:pPr>
        <w:spacing w:after="40" w:before="120"/>
      </w:pPr>
      <w:r>
        <w:rPr>
          <w:b/>
          <w:color w:val="34495E"/>
          <w:sz w:val="22"/>
        </w:rPr>
        <w:t>Quantitative Developer / Researcher → Portfolio Manager</w:t>
      </w:r>
    </w:p>
    <w:p>
      <w:pPr>
        <w:spacing w:after="40"/>
      </w:pPr>
      <w:r>
        <w:rPr>
          <w:rFonts w:ascii="Calibri" w:hAnsi="Calibri"/>
          <w:b w:val="0"/>
          <w:i/>
          <w:sz w:val="20"/>
        </w:rPr>
      </w:r>
      <w:r>
        <w:rPr>
          <w:rFonts w:ascii="Calibri" w:hAnsi="Calibri"/>
          <w:b/>
          <w:i/>
          <w:sz w:val="20"/>
        </w:rPr>
        <w:t>Alpha Bridge (formerly Asset Plus AM)</w:t>
      </w:r>
      <w:r>
        <w:rPr>
          <w:rFonts w:ascii="Calibri" w:hAnsi="Calibri"/>
          <w:b w:val="0"/>
          <w:i/>
          <w:sz w:val="20"/>
        </w:rPr>
        <w:t xml:space="preserve"> | Seoul, South Korea | Jan 2024 – Present</w:t>
      </w:r>
    </w:p>
    <w:p>
      <w:pPr>
        <w:spacing w:after="40"/>
      </w:pPr>
      <w:r>
        <w:rPr>
          <w:rFonts w:ascii="Calibri" w:hAnsi="Calibri"/>
          <w:b w:val="0"/>
          <w:i w:val="0"/>
          <w:sz w:val="20"/>
        </w:rPr>
        <w:t>Sole quantitative researcher building the firm's systematic research infrastructure end-to-end. Progressed from model development to portfolio management responsibility.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</w:r>
      <w:r>
        <w:rPr>
          <w:rFonts w:ascii="Calibri" w:hAnsi="Calibri"/>
          <w:b/>
          <w:i w:val="0"/>
          <w:sz w:val="21"/>
        </w:rPr>
        <w:t>Portfolio Management — Live Fund Operations</w:t>
      </w:r>
      <w:r>
        <w:rPr>
          <w:rFonts w:ascii="Calibri" w:hAnsi="Calibri"/>
          <w:b/>
          <w:i w:val="0"/>
          <w:sz w:val="21"/>
        </w:rPr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Managed ML-driven signal integration and portfolio decisions for S&amp;P 500 Growth fund (AUM: KRW 34B / ~US$25M)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 xml:space="preserve">Delivered </w:t>
      </w:r>
      <w:r>
        <w:rPr>
          <w:rFonts w:ascii="Calibri" w:hAnsi="Calibri"/>
          <w:b/>
          <w:sz w:val="21"/>
        </w:rPr>
        <w:t>+43.54% cumulative return</w:t>
      </w:r>
      <w:r>
        <w:rPr>
          <w:rFonts w:ascii="Calibri" w:hAnsi="Calibri"/>
          <w:sz w:val="21"/>
        </w:rPr>
        <w:t xml:space="preserve"> over 16-month live trading period (benchmark +35.90%, alpha +7.64%p)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Owned full pipeline from feature engineering → model training → signal aggregation → portfolio construction → execution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Secured strategic MOU partnership with Daol Asset Management based on live performance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</w:r>
      <w:r>
        <w:rPr>
          <w:rFonts w:ascii="Calibri" w:hAnsi="Calibri"/>
          <w:b/>
          <w:i w:val="0"/>
          <w:sz w:val="21"/>
        </w:rPr>
        <w:t>Systematic Research — ML Signal Framework (Layer 1)</w:t>
      </w:r>
      <w:r>
        <w:rPr>
          <w:rFonts w:ascii="Calibri" w:hAnsi="Calibri"/>
          <w:b/>
          <w:i w:val="0"/>
          <w:sz w:val="21"/>
        </w:rPr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Built classical ML strategy stack (XGBoost, ensemble methods) on fundamental and alternative data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Designed event-driven backtesting framework, improving research iteration speed ~10×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Implemented systematic look-ahead bias prevention and out-of-sample validation protocols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</w:r>
      <w:r>
        <w:rPr>
          <w:rFonts w:ascii="Calibri" w:hAnsi="Calibri"/>
          <w:b/>
          <w:i w:val="0"/>
          <w:sz w:val="21"/>
        </w:rPr>
        <w:t>LLM-Driven Research Optimization (Layer 2)</w:t>
      </w:r>
      <w:r>
        <w:rPr>
          <w:rFonts w:ascii="Calibri" w:hAnsi="Calibri"/>
          <w:b/>
          <w:i w:val="0"/>
          <w:sz w:val="21"/>
        </w:rPr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Developed LLM-powered system for automatic objective function generation from natural-language investment hypotheses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Built risk-return plane mapping and efficient frontier visualization for systematic strategy selection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</w:r>
      <w:r>
        <w:rPr>
          <w:rFonts w:ascii="Calibri" w:hAnsi="Calibri"/>
          <w:b/>
          <w:i w:val="0"/>
          <w:sz w:val="21"/>
        </w:rPr>
        <w:t>Agentic Alpha Factory (Layer 3)</w:t>
      </w:r>
      <w:r>
        <w:rPr>
          <w:rFonts w:ascii="Calibri" w:hAnsi="Calibri"/>
          <w:b/>
          <w:i w:val="0"/>
          <w:sz w:val="21"/>
        </w:rPr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 xml:space="preserve">Architected autonomous research pipeline executing </w:t>
      </w:r>
      <w:r>
        <w:rPr>
          <w:rFonts w:ascii="Calibri" w:hAnsi="Calibri"/>
          <w:b/>
          <w:sz w:val="21"/>
        </w:rPr>
        <w:t>500+ hypothesis-test loops per day</w:t>
      </w:r>
      <w:r>
        <w:rPr>
          <w:rFonts w:ascii="Calibri" w:hAnsi="Calibri"/>
          <w:sz w:val="21"/>
        </w:rPr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End-to-end automation: idea generation → data collection → feature engineering → backtesting → evaluation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Serving as PM over agentic hedge fund prototype; strategies under validation</w:t>
      </w:r>
    </w:p>
    <w:p>
      <w:pPr>
        <w:pBdr>
          <w:bottom w:val="single" w:sz="4" w:space="1" w:color="2c3e50"/>
        </w:pBdr>
        <w:spacing w:after="40" w:before="120"/>
      </w:pPr>
      <w:r>
        <w:rPr>
          <w:b/>
          <w:color w:val="2C3E50"/>
          <w:sz w:val="24"/>
        </w:rPr>
        <w:t>EDUCATION</w:t>
      </w:r>
    </w:p>
    <w:p>
      <w:pPr>
        <w:spacing w:after="40" w:before="120"/>
      </w:pPr>
      <w:r>
        <w:rPr>
          <w:b/>
          <w:color w:val="34495E"/>
          <w:sz w:val="22"/>
        </w:rPr>
        <w:t>PhD in Physics — Yonsei University, Seoul (2023)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CNN-based signal/background discrimination for LHC particle physics experiments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 xml:space="preserve">Achieved </w:t>
      </w:r>
      <w:r>
        <w:rPr>
          <w:rFonts w:ascii="Calibri" w:hAnsi="Calibri"/>
          <w:b/>
          <w:sz w:val="21"/>
        </w:rPr>
        <w:t>1.85× efficiency gain</w:t>
      </w:r>
      <w:r>
        <w:rPr>
          <w:rFonts w:ascii="Calibri" w:hAnsi="Calibri"/>
          <w:sz w:val="21"/>
        </w:rPr>
        <w:t xml:space="preserve"> over conventional methods using deep learning on high-dimensional detector data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 xml:space="preserve">Operated on </w:t>
      </w:r>
      <w:r>
        <w:rPr>
          <w:rFonts w:ascii="Calibri" w:hAnsi="Calibri"/>
          <w:b/>
          <w:sz w:val="21"/>
        </w:rPr>
        <w:t>1,024-node HPC cluster</w:t>
      </w:r>
      <w:r>
        <w:rPr>
          <w:rFonts w:ascii="Calibri" w:hAnsi="Calibri"/>
          <w:sz w:val="21"/>
        </w:rPr>
        <w:t>; extensive distributed computing experience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Kim, J. et al., *J. Phys.: Conf. Ser.* 2438 (2023)</w:t>
      </w:r>
    </w:p>
    <w:p>
      <w:pPr>
        <w:pBdr>
          <w:bottom w:val="single" w:sz="4" w:space="1" w:color="2c3e50"/>
        </w:pBdr>
        <w:spacing w:after="40" w:before="120"/>
      </w:pPr>
      <w:r>
        <w:rPr>
          <w:b/>
          <w:color w:val="2C3E50"/>
          <w:sz w:val="24"/>
        </w:rPr>
        <w:t>TECHNICAL SKILLS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ML / Deep Learning:</w:t>
      </w:r>
      <w:r>
        <w:rPr>
          <w:rFonts w:ascii="Calibri" w:hAnsi="Calibri"/>
          <w:sz w:val="21"/>
        </w:rPr>
        <w:t xml:space="preserve"> PyTorch, TensorFlow, CNNs, XGBoost, ensemble methods, feature engineering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LLM / Agents:</w:t>
      </w:r>
      <w:r>
        <w:rPr>
          <w:rFonts w:ascii="Calibri" w:hAnsi="Calibri"/>
          <w:sz w:val="21"/>
        </w:rPr>
        <w:t xml:space="preserve"> Claude Agent SDK, Google ADK, autonomous agent pipelines, RAG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Programming:</w:t>
      </w:r>
      <w:r>
        <w:rPr>
          <w:rFonts w:ascii="Calibri" w:hAnsi="Calibri"/>
          <w:sz w:val="21"/>
        </w:rPr>
        <w:t xml:space="preserve"> Python (primary), SQL, Shell scripting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Infrastructure:</w:t>
      </w:r>
      <w:r>
        <w:rPr>
          <w:rFonts w:ascii="Calibri" w:hAnsi="Calibri"/>
          <w:sz w:val="21"/>
        </w:rPr>
        <w:t xml:space="preserve"> Docker, Linux, HPC clusters (1,024-node), cloud deployment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Quant Research:</w:t>
      </w:r>
      <w:r>
        <w:rPr>
          <w:rFonts w:ascii="Calibri" w:hAnsi="Calibri"/>
          <w:sz w:val="21"/>
        </w:rPr>
        <w:t xml:space="preserve"> Systematic strategy design, backtesting, signal aggregation, portfolio construction, risk management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Foundations:</w:t>
      </w:r>
      <w:r>
        <w:rPr>
          <w:rFonts w:ascii="Calibri" w:hAnsi="Calibri"/>
          <w:sz w:val="21"/>
        </w:rPr>
        <w:t xml:space="preserve"> Stochastic processes, PDEs, Monte Carlo methods, statistical inference</w:t>
      </w:r>
    </w:p>
    <w:p>
      <w:pPr>
        <w:pBdr>
          <w:bottom w:val="single" w:sz="4" w:space="1" w:color="2c3e50"/>
        </w:pBdr>
        <w:spacing w:after="40" w:before="120"/>
      </w:pPr>
      <w:r>
        <w:rPr>
          <w:b/>
          <w:color w:val="2C3E50"/>
          <w:sz w:val="24"/>
        </w:rPr>
        <w:t>AWARDS &amp; PUBLICATIONS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Best Paper Award</w:t>
      </w:r>
      <w:r>
        <w:rPr>
          <w:rFonts w:ascii="Calibri" w:hAnsi="Calibri"/>
          <w:sz w:val="21"/>
        </w:rPr>
        <w:t xml:space="preserve"> — Korean Society of Computer Science and Engineering (KSCSE), 2021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Best Paper Award</w:t>
      </w:r>
      <w:r>
        <w:rPr>
          <w:rFonts w:ascii="Calibri" w:hAnsi="Calibri"/>
          <w:sz w:val="21"/>
        </w:rPr>
        <w:t xml:space="preserve"> — Korean Physical Society (KPS), 2020</w:t>
      </w:r>
    </w:p>
    <w:p>
      <w:pPr>
        <w:pStyle w:val="ListBullet"/>
        <w:spacing w:after="20" w:before="0"/>
      </w:pPr>
      <w:r>
        <w:rPr>
          <w:rFonts w:ascii="Calibri" w:hAnsi="Calibri"/>
          <w:sz w:val="21"/>
        </w:rPr>
        <w:t>Kim, J. et al., "CNN-based signal/background discrimination at the LHC," J. Phys.: Conf. Ser. 2438 (2023)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