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A1A2E"/>
          <w:sz w:val="40"/>
        </w:rPr>
        <w:t>Ryan Park</w:t>
      </w:r>
    </w:p>
    <w:p>
      <w:pPr>
        <w:spacing w:after="40"/>
        <w:jc w:val="center"/>
      </w:pPr>
      <w:r>
        <w:rPr>
          <w:color w:val="555555"/>
          <w:sz w:val="20"/>
        </w:rPr>
        <w:t>Quantitative Researcher &amp; Systematic Strategy Architect</w:t>
      </w:r>
    </w:p>
    <w:p>
      <w:pPr>
        <w:spacing w:after="40"/>
        <w:jc w:val="center"/>
      </w:pPr>
      <w:r>
        <w:rPr>
          <w:color w:val="555555"/>
          <w:sz w:val="20"/>
        </w:rPr>
        <w:t>Singapore (Willing to Relocate) · ryan@example.com · linkedin.com/in/ryanpark</w:t>
      </w:r>
    </w:p>
    <w:p>
      <w:pPr>
        <w:pBdr>
          <w:bottom w:val="single" w:sz="4" w:space="1" w:color="2c3e6b"/>
        </w:pBdr>
        <w:spacing w:before="120" w:after="60"/>
      </w:pPr>
      <w:r>
        <w:rPr>
          <w:b/>
          <w:color w:val="2C3E6B"/>
          <w:sz w:val="26"/>
        </w:rPr>
        <w:t>Summary</w:t>
      </w:r>
    </w:p>
    <w:p>
      <w:pPr>
        <w:spacing w:after="60"/>
      </w:pPr>
      <w:r>
        <w:rPr>
          <w:sz w:val="21"/>
        </w:rPr>
        <w:t>Physics PhD and quantitative researcher leading the design and production deployment of a 3-layer systematic alpha platform (34B KRW AUM, +43.54% vs benchmark). Full-stack capability from alpha signal research and ML model development through trading infrastructure and execution. Experienced in shaping research agendas, mentoring researchers, and driving architecture decisions. Seeking to apply systematic research methodology and team leadership to global futures strategy development across US and APAC markets.</w:t>
      </w:r>
    </w:p>
    <w:p>
      <w:pPr>
        <w:pBdr>
          <w:bottom w:val="single" w:sz="4" w:space="1" w:color="2c3e6b"/>
        </w:pBdr>
        <w:spacing w:before="120" w:after="60"/>
      </w:pPr>
      <w:r>
        <w:rPr>
          <w:b/>
          <w:color w:val="2C3E6B"/>
          <w:sz w:val="26"/>
        </w:rPr>
        <w:t>Professional Experience</w:t>
      </w:r>
    </w:p>
    <w:p>
      <w:pPr>
        <w:spacing w:before="120" w:after="60"/>
      </w:pPr>
      <w:r>
        <w:rPr>
          <w:b/>
          <w:sz w:val="22"/>
        </w:rPr>
        <w:t>Quantitative Developer / Researcher — Alpha Bridge (formerly Asset Plus AM)</w:t>
      </w:r>
    </w:p>
    <w:p>
      <w:pPr>
        <w:spacing w:after="60"/>
      </w:pPr>
      <w:r>
        <w:rPr>
          <w:i/>
          <w:color w:val="666666"/>
          <w:sz w:val="21"/>
        </w:rPr>
        <w:t>Seoul, South Korea · January 2024 – Present</w:t>
      </w:r>
    </w:p>
    <w:p>
      <w:pPr>
        <w:spacing w:after="60"/>
      </w:pPr>
      <w:r>
        <w:rPr>
          <w:b/>
          <w:sz w:val="21"/>
        </w:rPr>
        <w:t xml:space="preserve">Role: </w:t>
      </w:r>
      <w:r>
        <w:rPr>
          <w:sz w:val="21"/>
        </w:rPr>
        <w:t>Lead researcher and project manager for systematic strategy development across the full research-to-production pipeline.</w:t>
      </w:r>
    </w:p>
    <w:p>
      <w:pPr>
        <w:spacing w:after="60"/>
      </w:pPr>
      <w:r>
        <w:rPr>
          <w:b/>
          <w:sz w:val="21"/>
        </w:rPr>
        <w:t>3-Layer Systematic Alpha Architecture (Architect &amp; PM)</w:t>
      </w:r>
      <w:r>
        <w:rPr>
          <w:sz w:val="21"/>
        </w:rPr>
      </w:r>
    </w:p>
    <w:p>
      <w:pPr>
        <w:pStyle w:val="ListBullet"/>
        <w:spacing w:after="20" w:before="20"/>
      </w:pPr>
      <w:r>
        <w:rPr>
          <w:b/>
          <w:sz w:val="20"/>
        </w:rPr>
        <w:t xml:space="preserve">Layer 1 — ML Signal Research &amp; Live Deployment: </w:t>
      </w:r>
      <w:r>
        <w:rPr>
          <w:sz w:val="20"/>
        </w:rPr>
        <w:t>Developed CNN/gradient-boosted signal models for equity selection; deployed as the core engine of the S&amp;P500 Growth Fund (34B KRW AUM). Fund returned +43.54% vs benchmark over evaluation period.</w:t>
      </w:r>
    </w:p>
    <w:p>
      <w:pPr>
        <w:pStyle w:val="ListBullet"/>
        <w:spacing w:after="20" w:before="20"/>
      </w:pPr>
      <w:r>
        <w:rPr>
          <w:b/>
          <w:sz w:val="20"/>
        </w:rPr>
        <w:t xml:space="preserve">Layer 2 — LLM-Driven Objective Function Generation: </w:t>
      </w:r>
      <w:r>
        <w:rPr>
          <w:sz w:val="20"/>
        </w:rPr>
        <w:t>Built automated pipeline using large language models to generate and evaluate objective functions for portfolio optimisation, mapping the efficient frontier across risk/return dimensions.</w:t>
      </w:r>
    </w:p>
    <w:p>
      <w:pPr>
        <w:pStyle w:val="ListBullet"/>
        <w:spacing w:after="20" w:before="20"/>
      </w:pPr>
      <w:r>
        <w:rPr>
          <w:b/>
          <w:sz w:val="20"/>
        </w:rPr>
        <w:t xml:space="preserve">Layer 3 — Agentic Alpha Factory: </w:t>
      </w:r>
      <w:r>
        <w:rPr>
          <w:sz w:val="20"/>
        </w:rPr>
        <w:t>Designed and deployed autonomous research loop system executing 500+ alpha hypothesis–test–evaluate cycles per day, systematically expanding signal universe.</w:t>
      </w:r>
    </w:p>
    <w:p>
      <w:pPr>
        <w:spacing w:after="60"/>
      </w:pPr>
      <w:r>
        <w:rPr>
          <w:b/>
          <w:sz w:val="21"/>
        </w:rPr>
        <w:t>Leadership &amp; Infrastructure</w:t>
      </w:r>
      <w:r>
        <w:rPr>
          <w:sz w:val="21"/>
        </w:rPr>
      </w:r>
    </w:p>
    <w:p>
      <w:pPr>
        <w:pStyle w:val="ListBullet"/>
        <w:spacing w:after="20" w:before="20"/>
      </w:pPr>
      <w:r>
        <w:rPr>
          <w:sz w:val="20"/>
        </w:rPr>
        <w:t>Directed architecture decisions across research, data engineering, and execution layers — coordinating with engineering on production deployment and monitoring.</w:t>
      </w:r>
    </w:p>
    <w:p>
      <w:pPr>
        <w:pStyle w:val="ListBullet"/>
        <w:spacing w:after="20" w:before="20"/>
      </w:pPr>
      <w:r>
        <w:rPr>
          <w:sz w:val="20"/>
        </w:rPr>
        <w:t>Established backtesting framework with walk-forward validation, transaction cost modelling, and regime-conditional evaluation. Backtest Sharpe ratios for systematic strategies: [Sharpe X.XX].</w:t>
      </w:r>
    </w:p>
    <w:p>
      <w:pPr>
        <w:pStyle w:val="ListBullet"/>
        <w:spacing w:after="20" w:before="20"/>
      </w:pPr>
      <w:r>
        <w:rPr>
          <w:sz w:val="20"/>
        </w:rPr>
        <w:t>Managed research priorities and mentored junior team members on ML methodology and systematic strategy design.</w:t>
      </w:r>
    </w:p>
    <w:p>
      <w:pPr>
        <w:spacing w:after="60"/>
      </w:pPr>
      <w:r>
        <w:rPr>
          <w:b/>
          <w:sz w:val="21"/>
        </w:rPr>
        <w:t>Systematic Macro Research (Transferable to Global Futures)</w:t>
      </w:r>
      <w:r>
        <w:rPr>
          <w:sz w:val="21"/>
        </w:rPr>
      </w:r>
    </w:p>
    <w:p>
      <w:pPr>
        <w:pStyle w:val="ListBullet"/>
        <w:spacing w:after="20" w:before="20"/>
      </w:pPr>
      <w:r>
        <w:rPr>
          <w:sz w:val="20"/>
        </w:rPr>
        <w:t>Developed cross-asset signal research pipeline analysing equity indices, macro indicators, and volatility factors — methodology directly applicable to systematic futures strategy development across US and APAC exchanges.</w:t>
      </w:r>
    </w:p>
    <w:p>
      <w:pPr>
        <w:pStyle w:val="ListBullet"/>
        <w:spacing w:after="20" w:before="20"/>
      </w:pPr>
      <w:r>
        <w:rPr>
          <w:sz w:val="20"/>
        </w:rPr>
        <w:t>Built real-time data ingestion and feature engineering infrastructure processing multi-frequency market data on Linux HPC, supporting both mid-frequency signal generation and research iteration at scale.</w:t>
      </w:r>
    </w:p>
    <w:p>
      <w:pPr>
        <w:spacing w:before="120" w:after="60"/>
      </w:pPr>
      <w:r>
        <w:rPr>
          <w:b/>
          <w:sz w:val="22"/>
        </w:rPr>
        <w:t>PhD Researcher — Department of Physics, Yonsei University</w:t>
      </w:r>
    </w:p>
    <w:p>
      <w:pPr>
        <w:spacing w:after="60"/>
      </w:pPr>
      <w:r>
        <w:rPr>
          <w:i/>
          <w:color w:val="666666"/>
          <w:sz w:val="21"/>
        </w:rPr>
        <w:t>Seoul, South Korea · 2018 – 2023</w:t>
      </w:r>
    </w:p>
    <w:p>
      <w:pPr>
        <w:spacing w:after="60"/>
      </w:pPr>
      <w:r>
        <w:rPr>
          <w:b/>
          <w:sz w:val="21"/>
        </w:rPr>
        <w:t xml:space="preserve">Thesis: </w:t>
      </w:r>
      <w:r>
        <w:rPr>
          <w:sz w:val="21"/>
        </w:rPr>
        <w:t>CNN-based signal/background discrimination for LHC particle physics data.</w:t>
      </w:r>
    </w:p>
    <w:p>
      <w:pPr>
        <w:pStyle w:val="ListBullet"/>
        <w:spacing w:after="20" w:before="20"/>
      </w:pPr>
      <w:r>
        <w:rPr>
          <w:sz w:val="20"/>
        </w:rPr>
        <w:t>Achieved 1.85× improvement in signal detection efficiency using deep convolutional neural networks applied to high-dimensional experimental data.</w:t>
      </w:r>
    </w:p>
    <w:p>
      <w:pPr>
        <w:pStyle w:val="ListBullet"/>
        <w:spacing w:after="20" w:before="20"/>
      </w:pPr>
      <w:r>
        <w:rPr>
          <w:sz w:val="20"/>
        </w:rPr>
        <w:t>Operated on 1,024-node HPC cluster for large-scale distributed model training and data processing — direct experience with research infrastructure at scale.</w:t>
      </w:r>
    </w:p>
    <w:p>
      <w:pPr>
        <w:pStyle w:val="ListBullet"/>
        <w:spacing w:after="20" w:before="20"/>
      </w:pPr>
      <w:r>
        <w:rPr>
          <w:sz w:val="20"/>
        </w:rPr>
        <w:t>Developed statistical analysis pipelines for hypothesis testing on large datasets (O(10⁹) events), optimising signal-to-noise extraction under severe class imbalance.</w:t>
      </w:r>
    </w:p>
    <w:p>
      <w:pPr>
        <w:spacing w:after="60"/>
      </w:pPr>
      <w:r>
        <w:rPr>
          <w:b/>
          <w:sz w:val="21"/>
        </w:rPr>
        <w:t xml:space="preserve">Publication: </w:t>
      </w:r>
      <w:r>
        <w:rPr>
          <w:sz w:val="21"/>
        </w:rPr>
        <w:t>Journal of Physics: Conference Series 2438 (2023)</w:t>
      </w:r>
    </w:p>
    <w:p>
      <w:pPr>
        <w:pBdr>
          <w:bottom w:val="single" w:sz="4" w:space="1" w:color="2c3e6b"/>
        </w:pBdr>
        <w:spacing w:before="120" w:after="60"/>
      </w:pPr>
      <w:r>
        <w:rPr>
          <w:b/>
          <w:color w:val="2C3E6B"/>
          <w:sz w:val="26"/>
        </w:rPr>
        <w:t>Technical Skills</w:t>
      </w:r>
    </w:p>
    <w:p>
      <w:pPr>
        <w:pStyle w:val="ListBullet"/>
        <w:spacing w:after="20" w:before="20"/>
      </w:pPr>
      <w:r>
        <w:rPr>
          <w:b/>
          <w:sz w:val="20"/>
        </w:rPr>
        <w:t xml:space="preserve">ML / Deep Learning: </w:t>
      </w:r>
      <w:r>
        <w:rPr>
          <w:sz w:val="20"/>
        </w:rPr>
        <w:t>PyTorch, TensorFlow, CNN, gradient boosting, feature engineering</w:t>
      </w:r>
    </w:p>
    <w:p>
      <w:pPr>
        <w:pStyle w:val="ListBullet"/>
        <w:spacing w:after="20" w:before="20"/>
      </w:pPr>
      <w:r>
        <w:rPr>
          <w:b/>
          <w:sz w:val="20"/>
        </w:rPr>
        <w:t xml:space="preserve">LLM / Agents: </w:t>
      </w:r>
      <w:r>
        <w:rPr>
          <w:sz w:val="20"/>
        </w:rPr>
        <w:t>LLM-based objective function generation, autonomous research agents</w:t>
      </w:r>
    </w:p>
    <w:p>
      <w:pPr>
        <w:pStyle w:val="ListBullet"/>
        <w:spacing w:after="20" w:before="20"/>
      </w:pPr>
      <w:r>
        <w:rPr>
          <w:b/>
          <w:sz w:val="20"/>
        </w:rPr>
        <w:t xml:space="preserve">Systematic Trading: </w:t>
      </w:r>
      <w:r>
        <w:rPr>
          <w:sz w:val="20"/>
        </w:rPr>
        <w:t>Alpha signal research, backtesting frameworks, walk-forward validation, transaction cost modelling</w:t>
      </w:r>
    </w:p>
    <w:p>
      <w:pPr>
        <w:pStyle w:val="ListBullet"/>
        <w:spacing w:after="20" w:before="20"/>
      </w:pPr>
      <w:r>
        <w:rPr>
          <w:b/>
          <w:sz w:val="20"/>
        </w:rPr>
        <w:t xml:space="preserve">Infrastructure: </w:t>
      </w:r>
      <w:r>
        <w:rPr>
          <w:sz w:val="20"/>
        </w:rPr>
        <w:t>Python, Docker, Linux HPC, distributed computing, real-time data pipelines</w:t>
      </w:r>
    </w:p>
    <w:p>
      <w:pPr>
        <w:pStyle w:val="ListBullet"/>
        <w:spacing w:after="20" w:before="20"/>
      </w:pPr>
      <w:r>
        <w:rPr>
          <w:b/>
          <w:sz w:val="20"/>
        </w:rPr>
        <w:t xml:space="preserve">Research: </w:t>
      </w:r>
      <w:r>
        <w:rPr>
          <w:sz w:val="20"/>
        </w:rPr>
        <w:t>Statistical hypothesis testing, portfolio optimisation, cross-asset factor analysis</w:t>
      </w:r>
    </w:p>
    <w:p>
      <w:pPr>
        <w:pBdr>
          <w:bottom w:val="single" w:sz="4" w:space="1" w:color="2c3e6b"/>
        </w:pBdr>
        <w:spacing w:before="120" w:after="60"/>
      </w:pPr>
      <w:r>
        <w:rPr>
          <w:b/>
          <w:color w:val="2C3E6B"/>
          <w:sz w:val="26"/>
        </w:rPr>
        <w:t>Education</w:t>
      </w:r>
    </w:p>
    <w:p>
      <w:pPr>
        <w:spacing w:after="60"/>
      </w:pPr>
      <w:r>
        <w:rPr>
          <w:b/>
          <w:sz w:val="21"/>
        </w:rPr>
        <w:t xml:space="preserve">PhD in Physics — </w:t>
      </w:r>
      <w:r>
        <w:rPr>
          <w:sz w:val="21"/>
        </w:rPr>
        <w:t>Yonsei University, Seoul (2023)</w:t>
      </w:r>
    </w:p>
    <w:p>
      <w:pPr>
        <w:spacing w:after="60"/>
      </w:pPr>
      <w:r>
        <w:rPr>
          <w:b/>
          <w:sz w:val="21"/>
        </w:rPr>
        <w:t xml:space="preserve">BS in Physics — </w:t>
      </w:r>
      <w:r>
        <w:rPr>
          <w:sz w:val="21"/>
        </w:rPr>
        <w:t>Yonsei University, Seoul (2018)</w:t>
      </w:r>
    </w:p>
    <w:p>
      <w:pPr>
        <w:pBdr>
          <w:bottom w:val="single" w:sz="4" w:space="1" w:color="2c3e6b"/>
        </w:pBdr>
        <w:spacing w:before="120" w:after="60"/>
      </w:pPr>
      <w:r>
        <w:rPr>
          <w:b/>
          <w:color w:val="2C3E6B"/>
          <w:sz w:val="26"/>
        </w:rPr>
        <w:t>Awards &amp; Recognition</w:t>
      </w:r>
    </w:p>
    <w:p>
      <w:pPr>
        <w:pStyle w:val="ListBullet"/>
        <w:spacing w:after="20" w:before="20"/>
      </w:pPr>
      <w:r>
        <w:rPr>
          <w:b/>
          <w:sz w:val="20"/>
        </w:rPr>
        <w:t xml:space="preserve">Best Presentation Award — </w:t>
      </w:r>
      <w:r>
        <w:rPr>
          <w:sz w:val="20"/>
        </w:rPr>
        <w:t>Korean Society for Computational Sciences and Engineering (KSCSE), 2021</w:t>
      </w:r>
    </w:p>
    <w:p>
      <w:pPr>
        <w:pStyle w:val="ListBullet"/>
        <w:spacing w:after="20" w:before="20"/>
      </w:pPr>
      <w:r>
        <w:rPr>
          <w:b/>
          <w:sz w:val="20"/>
        </w:rPr>
        <w:t xml:space="preserve">Excellence Award — </w:t>
      </w:r>
      <w:r>
        <w:rPr>
          <w:sz w:val="20"/>
        </w:rPr>
        <w:t>Korean Physical Society (KPS) Fall Conference, 2020</w:t>
      </w:r>
    </w:p>
    <w:p>
      <w:pPr>
        <w:pBdr>
          <w:bottom w:val="single" w:sz="4" w:space="1" w:color="2c3e6b"/>
        </w:pBdr>
        <w:spacing w:before="120" w:after="60"/>
      </w:pPr>
      <w:r>
        <w:rPr>
          <w:b/>
          <w:color w:val="2C3E6B"/>
          <w:sz w:val="26"/>
        </w:rPr>
        <w:t>Languages</w:t>
      </w:r>
    </w:p>
    <w:p>
      <w:pPr>
        <w:spacing w:after="60"/>
      </w:pPr>
      <w:r>
        <w:rPr>
          <w:sz w:val="21"/>
        </w:rPr>
        <w:t>Korean (Native) · English (Professional)</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