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96" w:rsidRPr="009E6A99" w:rsidRDefault="00537796" w:rsidP="009E6A99">
      <w:pPr>
        <w:jc w:val="center"/>
        <w:rPr>
          <w:b/>
          <w:sz w:val="32"/>
          <w:szCs w:val="32"/>
        </w:rPr>
      </w:pPr>
      <w:r w:rsidRPr="009E6A99">
        <w:rPr>
          <w:b/>
          <w:sz w:val="32"/>
          <w:szCs w:val="32"/>
        </w:rPr>
        <w:t>Reglamento Polla Copa América Argentina 2011</w:t>
      </w:r>
    </w:p>
    <w:p w:rsidR="00537796" w:rsidRDefault="00537796" w:rsidP="009E6A99">
      <w:pPr>
        <w:ind w:firstLine="708"/>
      </w:pPr>
      <w:r>
        <w:t>El siguiente documento presenta las reglas y condiciones establecidas para participar en la</w:t>
      </w:r>
      <w:r w:rsidR="009E6A99">
        <w:t xml:space="preserve"> </w:t>
      </w:r>
      <w:r>
        <w:t>Polla Copa América Argentina 2011, a través de la página web diseñada para este fin.</w:t>
      </w:r>
    </w:p>
    <w:p w:rsidR="00537796" w:rsidRPr="009E6A99" w:rsidRDefault="00537796" w:rsidP="00537796">
      <w:pPr>
        <w:rPr>
          <w:b/>
        </w:rPr>
      </w:pPr>
      <w:r w:rsidRPr="009E6A99">
        <w:rPr>
          <w:b/>
        </w:rPr>
        <w:t>I. Tiempo de vigencia.</w:t>
      </w:r>
    </w:p>
    <w:p w:rsidR="00537796" w:rsidRDefault="00537796" w:rsidP="009E6A99">
      <w:pPr>
        <w:ind w:firstLine="708"/>
        <w:jc w:val="both"/>
      </w:pPr>
      <w:r>
        <w:t>El tiempo de vigencia</w:t>
      </w:r>
      <w:r w:rsidR="00B1796C">
        <w:t xml:space="preserve"> de la Polla Copa América Argentina 2011 es de días 24 días, empezando el </w:t>
      </w:r>
      <w:r>
        <w:t>viernes 1 de julio hasta el 24 de julio de 2011, es decir el tiempo que dura todo el</w:t>
      </w:r>
      <w:r w:rsidR="009E6A99">
        <w:t xml:space="preserve"> torneo de la Copa Amé</w:t>
      </w:r>
      <w:r>
        <w:t>rica.</w:t>
      </w:r>
    </w:p>
    <w:p w:rsidR="00537796" w:rsidRPr="009E6A99" w:rsidRDefault="00537796" w:rsidP="00537796">
      <w:pPr>
        <w:rPr>
          <w:b/>
        </w:rPr>
      </w:pPr>
      <w:r w:rsidRPr="009E6A99">
        <w:rPr>
          <w:b/>
        </w:rPr>
        <w:t>II. Inscripción.</w:t>
      </w:r>
    </w:p>
    <w:p w:rsidR="00537796" w:rsidRDefault="00537796" w:rsidP="009E6A99">
      <w:pPr>
        <w:jc w:val="both"/>
      </w:pPr>
      <w:r>
        <w:t>La inscripción para participar en la Polla Copa Am</w:t>
      </w:r>
      <w:r w:rsidR="00B1796C">
        <w:t xml:space="preserve">érica Argentina 2011 se la realizará vía web, </w:t>
      </w:r>
      <w:r w:rsidR="009E6A99">
        <w:t xml:space="preserve"> i</w:t>
      </w:r>
      <w:r w:rsidR="00B1796C">
        <w:t xml:space="preserve">ngresando a la siguiente dirección: </w:t>
      </w:r>
      <w:hyperlink r:id="rId7" w:history="1">
        <w:r w:rsidR="00B1796C" w:rsidRPr="00900977">
          <w:rPr>
            <w:rStyle w:val="Hipervnculo"/>
          </w:rPr>
          <w:t>http://ca2011.armosoft.com</w:t>
        </w:r>
      </w:hyperlink>
      <w:r w:rsidR="00B1796C">
        <w:t xml:space="preserve"> , se </w:t>
      </w:r>
      <w:r>
        <w:t>solicitarán los siguientes datos básicos:</w:t>
      </w:r>
    </w:p>
    <w:p w:rsidR="00537796" w:rsidRDefault="00537796" w:rsidP="009E6A99">
      <w:r>
        <w:t>- Nombre.</w:t>
      </w:r>
      <w:r w:rsidR="009E6A99">
        <w:t xml:space="preserve"> </w:t>
      </w:r>
      <w:r w:rsidR="009E6A99">
        <w:br/>
      </w:r>
      <w:r>
        <w:t>- Correo electrónico.</w:t>
      </w:r>
      <w:r w:rsidR="009E6A99">
        <w:br/>
      </w:r>
      <w:r>
        <w:t>- Contraseña.</w:t>
      </w:r>
    </w:p>
    <w:p w:rsidR="00537796" w:rsidRDefault="00537796" w:rsidP="009E6A99">
      <w:pPr>
        <w:ind w:firstLine="708"/>
        <w:jc w:val="both"/>
      </w:pPr>
      <w:r>
        <w:t>El valor de la inscripción depende</w:t>
      </w:r>
      <w:r w:rsidR="00B1796C">
        <w:t xml:space="preserve"> del acuerdo al que llegue cada grupo de personas </w:t>
      </w:r>
      <w:r w:rsidR="009E6A99">
        <w:t xml:space="preserve"> p</w:t>
      </w:r>
      <w:r>
        <w:t>articipantes.</w:t>
      </w:r>
    </w:p>
    <w:p w:rsidR="00537796" w:rsidRPr="009E6A99" w:rsidRDefault="00537796" w:rsidP="00537796">
      <w:pPr>
        <w:rPr>
          <w:b/>
        </w:rPr>
      </w:pPr>
      <w:r w:rsidRPr="009E6A99">
        <w:rPr>
          <w:b/>
        </w:rPr>
        <w:t>III. Registro de pronósticos.</w:t>
      </w:r>
    </w:p>
    <w:p w:rsidR="00537796" w:rsidRDefault="00537796" w:rsidP="009E6A99">
      <w:pPr>
        <w:ind w:firstLine="708"/>
        <w:jc w:val="both"/>
      </w:pPr>
      <w:r>
        <w:t xml:space="preserve">Todos y cada uno de los participantes de la Polla </w:t>
      </w:r>
      <w:r w:rsidR="00B1796C">
        <w:t>Copa América Argentina 2011 tienen la opción de registro de pronósticos de cada uno de los 26 partidos de la Copa.</w:t>
      </w:r>
    </w:p>
    <w:p w:rsidR="00537796" w:rsidRDefault="00537796" w:rsidP="009E6A99">
      <w:pPr>
        <w:ind w:firstLine="708"/>
        <w:jc w:val="both"/>
      </w:pPr>
      <w:r>
        <w:t>Estos pronósticos podrán ser registrados en el sistema por cada participante hasta</w:t>
      </w:r>
      <w:r w:rsidR="009E6A99">
        <w:t xml:space="preserve"> </w:t>
      </w:r>
      <w:r>
        <w:t>una hora antes de cada partido, luego de este tiempo no s</w:t>
      </w:r>
      <w:r w:rsidR="00B1796C">
        <w:t xml:space="preserve">e podrá registrar el </w:t>
      </w:r>
      <w:r>
        <w:t>pronóstico. Un correo electrónico con los pronósticos de todos los parti</w:t>
      </w:r>
      <w:r w:rsidR="00B1796C">
        <w:t>cipantes será enviado a todos los concursantes.</w:t>
      </w:r>
    </w:p>
    <w:p w:rsidR="00537796" w:rsidRPr="009E6A99" w:rsidRDefault="00537796" w:rsidP="00537796">
      <w:pPr>
        <w:rPr>
          <w:b/>
        </w:rPr>
      </w:pPr>
      <w:r w:rsidRPr="009E6A99">
        <w:rPr>
          <w:b/>
        </w:rPr>
        <w:t>IV. Sistema de puntación.</w:t>
      </w:r>
    </w:p>
    <w:p w:rsidR="00537796" w:rsidRDefault="00537796" w:rsidP="009E6A99">
      <w:pPr>
        <w:ind w:firstLine="708"/>
      </w:pPr>
      <w:r>
        <w:t>El sistema de puntuación es e</w:t>
      </w:r>
      <w:r w:rsidR="00B1796C">
        <w:t>l siguiente:</w:t>
      </w:r>
    </w:p>
    <w:p w:rsidR="00B1796C" w:rsidRDefault="009E6A99" w:rsidP="00B138E1">
      <w:pPr>
        <w:ind w:firstLine="708"/>
        <w:jc w:val="both"/>
      </w:pPr>
      <w:r>
        <w:t xml:space="preserve">1. </w:t>
      </w:r>
      <w:r w:rsidR="00537796">
        <w:t>Por cada uno de</w:t>
      </w:r>
      <w:r w:rsidR="00B1796C">
        <w:t xml:space="preserve"> los 26 partidos que se disputarán en el torneo de Copa América, se </w:t>
      </w:r>
      <w:r>
        <w:t>otorgará</w:t>
      </w:r>
      <w:r w:rsidR="00B1796C">
        <w:t xml:space="preserve"> un máximo de 5 puntos, divididos de la siguiente manera:</w:t>
      </w:r>
    </w:p>
    <w:p w:rsidR="00B138E1" w:rsidRDefault="00B138E1" w:rsidP="00B138E1">
      <w:pPr>
        <w:jc w:val="both"/>
      </w:pPr>
      <w:r>
        <w:t>-</w:t>
      </w:r>
      <w:r w:rsidR="00537796">
        <w:t xml:space="preserve"> 2 puntos por acertar al resultado del partido</w:t>
      </w:r>
      <w:r w:rsidR="009E6A99">
        <w:t>.</w:t>
      </w:r>
    </w:p>
    <w:p w:rsidR="00B138E1" w:rsidRDefault="00537796" w:rsidP="00B138E1">
      <w:pPr>
        <w:jc w:val="both"/>
      </w:pPr>
      <w:r>
        <w:t>- 1 punto adicional por acertar al número de goles convertidos por el primer</w:t>
      </w:r>
      <w:r w:rsidR="00B1796C">
        <w:t xml:space="preserve"> </w:t>
      </w:r>
      <w:r>
        <w:t xml:space="preserve">equipo, y 1 punto </w:t>
      </w:r>
      <w:r w:rsidR="00B138E1">
        <w:t>a</w:t>
      </w:r>
      <w:r>
        <w:t>dicional por acertar al número de goles convertidos por el</w:t>
      </w:r>
      <w:r w:rsidR="00B1796C">
        <w:t xml:space="preserve"> </w:t>
      </w:r>
      <w:r>
        <w:t>segundo equipo.</w:t>
      </w:r>
      <w:r w:rsidR="00B1796C">
        <w:t xml:space="preserve">  </w:t>
      </w:r>
    </w:p>
    <w:p w:rsidR="00B1796C" w:rsidRDefault="00B1796C" w:rsidP="00B138E1">
      <w:pPr>
        <w:jc w:val="both"/>
      </w:pPr>
      <w:r>
        <w:lastRenderedPageBreak/>
        <w:t xml:space="preserve">- 1 punto </w:t>
      </w:r>
      <w:r w:rsidR="00220693">
        <w:t>adicional será otorgado por acertar al marcador exacto.</w:t>
      </w:r>
    </w:p>
    <w:p w:rsidR="00537796" w:rsidRDefault="00537796" w:rsidP="00537796">
      <w:r>
        <w:t>A continuación algunos ejemplos: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220693" w:rsidTr="0077409E">
        <w:tc>
          <w:tcPr>
            <w:tcW w:w="2244" w:type="dxa"/>
          </w:tcPr>
          <w:p w:rsidR="00220693" w:rsidRDefault="00220693" w:rsidP="00537796"/>
        </w:tc>
        <w:tc>
          <w:tcPr>
            <w:tcW w:w="4489" w:type="dxa"/>
            <w:gridSpan w:val="2"/>
          </w:tcPr>
          <w:p w:rsidR="00220693" w:rsidRPr="00220693" w:rsidRDefault="00220693" w:rsidP="00220693">
            <w:pPr>
              <w:jc w:val="center"/>
              <w:rPr>
                <w:b/>
                <w:color w:val="1F497D" w:themeColor="text2"/>
              </w:rPr>
            </w:pPr>
            <w:r w:rsidRPr="00220693">
              <w:rPr>
                <w:b/>
                <w:color w:val="1F497D" w:themeColor="text2"/>
              </w:rPr>
              <w:t>PARTIDO</w:t>
            </w:r>
          </w:p>
        </w:tc>
        <w:tc>
          <w:tcPr>
            <w:tcW w:w="2245" w:type="dxa"/>
          </w:tcPr>
          <w:p w:rsidR="00220693" w:rsidRDefault="00220693" w:rsidP="00537796"/>
        </w:tc>
      </w:tr>
      <w:tr w:rsidR="00220693" w:rsidTr="00220693">
        <w:tc>
          <w:tcPr>
            <w:tcW w:w="2244" w:type="dxa"/>
          </w:tcPr>
          <w:p w:rsidR="00220693" w:rsidRDefault="00220693" w:rsidP="00537796"/>
        </w:tc>
        <w:tc>
          <w:tcPr>
            <w:tcW w:w="2244" w:type="dxa"/>
          </w:tcPr>
          <w:p w:rsidR="00220693" w:rsidRPr="00220693" w:rsidRDefault="00220693" w:rsidP="00220693">
            <w:pPr>
              <w:jc w:val="center"/>
              <w:rPr>
                <w:b/>
                <w:color w:val="632423" w:themeColor="accent2" w:themeShade="80"/>
              </w:rPr>
            </w:pPr>
            <w:r w:rsidRPr="00220693">
              <w:rPr>
                <w:b/>
                <w:color w:val="632423" w:themeColor="accent2" w:themeShade="80"/>
              </w:rPr>
              <w:t>Venezuela</w:t>
            </w:r>
          </w:p>
        </w:tc>
        <w:tc>
          <w:tcPr>
            <w:tcW w:w="2245" w:type="dxa"/>
          </w:tcPr>
          <w:p w:rsidR="00220693" w:rsidRPr="00220693" w:rsidRDefault="00220693" w:rsidP="00220693">
            <w:pPr>
              <w:jc w:val="center"/>
              <w:rPr>
                <w:b/>
                <w:color w:val="632423" w:themeColor="accent2" w:themeShade="80"/>
              </w:rPr>
            </w:pPr>
            <w:r w:rsidRPr="00220693">
              <w:rPr>
                <w:b/>
                <w:color w:val="632423" w:themeColor="accent2" w:themeShade="80"/>
              </w:rPr>
              <w:t>Ecuador</w:t>
            </w:r>
          </w:p>
        </w:tc>
        <w:tc>
          <w:tcPr>
            <w:tcW w:w="2245" w:type="dxa"/>
          </w:tcPr>
          <w:p w:rsidR="00220693" w:rsidRDefault="00220693" w:rsidP="00537796">
            <w:r>
              <w:t>Puntaje Obtenido</w:t>
            </w:r>
          </w:p>
        </w:tc>
      </w:tr>
      <w:tr w:rsidR="00220693" w:rsidTr="00220693">
        <w:tc>
          <w:tcPr>
            <w:tcW w:w="2244" w:type="dxa"/>
          </w:tcPr>
          <w:p w:rsidR="00220693" w:rsidRPr="00220693" w:rsidRDefault="00220693" w:rsidP="00220693">
            <w:pPr>
              <w:jc w:val="center"/>
              <w:rPr>
                <w:b/>
                <w:color w:val="4F6228" w:themeColor="accent3" w:themeShade="80"/>
              </w:rPr>
            </w:pPr>
            <w:r w:rsidRPr="00220693">
              <w:rPr>
                <w:b/>
                <w:color w:val="4F6228" w:themeColor="accent3" w:themeShade="80"/>
              </w:rPr>
              <w:t>Marcador Real</w:t>
            </w:r>
          </w:p>
        </w:tc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b/>
                <w:sz w:val="24"/>
                <w:szCs w:val="24"/>
              </w:rPr>
            </w:pPr>
            <w:r w:rsidRPr="009E6A9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220693" w:rsidRPr="009E6A99" w:rsidRDefault="00220693" w:rsidP="00220693">
            <w:pPr>
              <w:jc w:val="center"/>
              <w:rPr>
                <w:b/>
                <w:sz w:val="24"/>
                <w:szCs w:val="24"/>
              </w:rPr>
            </w:pPr>
            <w:r w:rsidRPr="009E6A9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:rsidR="00220693" w:rsidRDefault="00220693" w:rsidP="00220693">
            <w:pPr>
              <w:jc w:val="center"/>
            </w:pPr>
            <w:r>
              <w:t>---</w:t>
            </w:r>
          </w:p>
        </w:tc>
      </w:tr>
      <w:tr w:rsidR="00220693" w:rsidTr="00220693"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b/>
                <w:color w:val="FF0000"/>
              </w:rPr>
            </w:pPr>
            <w:r w:rsidRPr="009E6A99">
              <w:rPr>
                <w:b/>
                <w:color w:val="FF0000"/>
              </w:rPr>
              <w:t>Pronóstico 1</w:t>
            </w:r>
          </w:p>
        </w:tc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1</w:t>
            </w:r>
          </w:p>
        </w:tc>
        <w:tc>
          <w:tcPr>
            <w:tcW w:w="2245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3</w:t>
            </w:r>
          </w:p>
        </w:tc>
        <w:tc>
          <w:tcPr>
            <w:tcW w:w="2245" w:type="dxa"/>
          </w:tcPr>
          <w:p w:rsidR="00220693" w:rsidRDefault="00220693" w:rsidP="00220693">
            <w:pPr>
              <w:jc w:val="center"/>
            </w:pPr>
            <w:r>
              <w:t>5</w:t>
            </w:r>
          </w:p>
        </w:tc>
      </w:tr>
      <w:tr w:rsidR="00220693" w:rsidTr="00220693"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b/>
                <w:color w:val="FF0000"/>
              </w:rPr>
            </w:pPr>
            <w:r w:rsidRPr="009E6A99">
              <w:rPr>
                <w:b/>
                <w:color w:val="FF0000"/>
              </w:rPr>
              <w:t>Pronóstico 2</w:t>
            </w:r>
          </w:p>
        </w:tc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1</w:t>
            </w:r>
          </w:p>
        </w:tc>
        <w:tc>
          <w:tcPr>
            <w:tcW w:w="2245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2</w:t>
            </w:r>
          </w:p>
        </w:tc>
        <w:tc>
          <w:tcPr>
            <w:tcW w:w="2245" w:type="dxa"/>
          </w:tcPr>
          <w:p w:rsidR="00220693" w:rsidRDefault="00220693" w:rsidP="00220693">
            <w:pPr>
              <w:jc w:val="center"/>
            </w:pPr>
            <w:r>
              <w:t>3</w:t>
            </w:r>
          </w:p>
        </w:tc>
      </w:tr>
      <w:tr w:rsidR="00220693" w:rsidTr="00220693"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b/>
                <w:color w:val="FF0000"/>
              </w:rPr>
            </w:pPr>
            <w:r w:rsidRPr="009E6A99">
              <w:rPr>
                <w:b/>
                <w:color w:val="FF0000"/>
              </w:rPr>
              <w:t>Pronóstico 3</w:t>
            </w:r>
          </w:p>
        </w:tc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0</w:t>
            </w:r>
          </w:p>
        </w:tc>
        <w:tc>
          <w:tcPr>
            <w:tcW w:w="2245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3</w:t>
            </w:r>
          </w:p>
        </w:tc>
        <w:tc>
          <w:tcPr>
            <w:tcW w:w="2245" w:type="dxa"/>
          </w:tcPr>
          <w:p w:rsidR="00220693" w:rsidRDefault="00220693" w:rsidP="00220693">
            <w:pPr>
              <w:jc w:val="center"/>
            </w:pPr>
            <w:r>
              <w:t>3</w:t>
            </w:r>
          </w:p>
        </w:tc>
      </w:tr>
      <w:tr w:rsidR="00220693" w:rsidTr="00220693"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b/>
                <w:color w:val="FF0000"/>
              </w:rPr>
            </w:pPr>
            <w:r w:rsidRPr="009E6A99">
              <w:rPr>
                <w:b/>
                <w:color w:val="FF0000"/>
              </w:rPr>
              <w:t>Pronóstico 4</w:t>
            </w:r>
          </w:p>
        </w:tc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1</w:t>
            </w:r>
          </w:p>
        </w:tc>
        <w:tc>
          <w:tcPr>
            <w:tcW w:w="2245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0</w:t>
            </w:r>
          </w:p>
        </w:tc>
        <w:tc>
          <w:tcPr>
            <w:tcW w:w="2245" w:type="dxa"/>
          </w:tcPr>
          <w:p w:rsidR="00220693" w:rsidRDefault="00220693" w:rsidP="00220693">
            <w:pPr>
              <w:jc w:val="center"/>
            </w:pPr>
            <w:r>
              <w:t>1</w:t>
            </w:r>
          </w:p>
        </w:tc>
      </w:tr>
      <w:tr w:rsidR="00220693" w:rsidTr="00220693"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b/>
                <w:color w:val="FF0000"/>
              </w:rPr>
            </w:pPr>
            <w:r w:rsidRPr="009E6A99">
              <w:rPr>
                <w:b/>
                <w:color w:val="FF0000"/>
              </w:rPr>
              <w:t>Pronóstico 5</w:t>
            </w:r>
          </w:p>
        </w:tc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0</w:t>
            </w:r>
          </w:p>
        </w:tc>
        <w:tc>
          <w:tcPr>
            <w:tcW w:w="2245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2</w:t>
            </w:r>
          </w:p>
        </w:tc>
        <w:tc>
          <w:tcPr>
            <w:tcW w:w="2245" w:type="dxa"/>
          </w:tcPr>
          <w:p w:rsidR="00220693" w:rsidRDefault="00220693" w:rsidP="00220693">
            <w:pPr>
              <w:jc w:val="center"/>
            </w:pPr>
            <w:r>
              <w:t>2</w:t>
            </w:r>
          </w:p>
        </w:tc>
      </w:tr>
      <w:tr w:rsidR="00220693" w:rsidTr="00220693"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b/>
                <w:color w:val="FF0000"/>
              </w:rPr>
            </w:pPr>
            <w:r w:rsidRPr="009E6A99">
              <w:rPr>
                <w:b/>
                <w:color w:val="FF0000"/>
              </w:rPr>
              <w:t>Pronóstico 6</w:t>
            </w:r>
          </w:p>
        </w:tc>
        <w:tc>
          <w:tcPr>
            <w:tcW w:w="2244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0</w:t>
            </w:r>
          </w:p>
        </w:tc>
        <w:tc>
          <w:tcPr>
            <w:tcW w:w="2245" w:type="dxa"/>
          </w:tcPr>
          <w:p w:rsidR="00220693" w:rsidRPr="009E6A99" w:rsidRDefault="00220693" w:rsidP="00220693">
            <w:pPr>
              <w:jc w:val="center"/>
              <w:rPr>
                <w:color w:val="FF0000"/>
              </w:rPr>
            </w:pPr>
            <w:r w:rsidRPr="009E6A99">
              <w:rPr>
                <w:color w:val="FF0000"/>
              </w:rPr>
              <w:t>0</w:t>
            </w:r>
          </w:p>
        </w:tc>
        <w:tc>
          <w:tcPr>
            <w:tcW w:w="2245" w:type="dxa"/>
          </w:tcPr>
          <w:p w:rsidR="00220693" w:rsidRDefault="00220693" w:rsidP="00220693">
            <w:pPr>
              <w:jc w:val="center"/>
            </w:pPr>
            <w:r>
              <w:t>0</w:t>
            </w:r>
          </w:p>
        </w:tc>
      </w:tr>
    </w:tbl>
    <w:p w:rsidR="009E6A99" w:rsidRDefault="009E6A99" w:rsidP="00537796"/>
    <w:p w:rsidR="00220693" w:rsidRDefault="009E6A99" w:rsidP="00537796">
      <w:r>
        <w:t>El total de puntos posibles es 130.</w:t>
      </w:r>
    </w:p>
    <w:p w:rsidR="00537796" w:rsidRPr="00B138E1" w:rsidRDefault="00537796" w:rsidP="00537796">
      <w:pPr>
        <w:rPr>
          <w:b/>
        </w:rPr>
      </w:pPr>
      <w:r w:rsidRPr="00B138E1">
        <w:rPr>
          <w:b/>
        </w:rPr>
        <w:t>V. Premiación.</w:t>
      </w:r>
    </w:p>
    <w:p w:rsidR="0060509F" w:rsidRPr="00537796" w:rsidRDefault="00537796" w:rsidP="00B138E1">
      <w:pPr>
        <w:ind w:firstLine="708"/>
        <w:jc w:val="both"/>
      </w:pPr>
      <w:r>
        <w:t>El sistema de premiación depen</w:t>
      </w:r>
      <w:r w:rsidR="009E6A99">
        <w:t>derá de cada grupo participante</w:t>
      </w:r>
      <w:r>
        <w:t>, d</w:t>
      </w:r>
      <w:r w:rsidR="009E6A99">
        <w:t xml:space="preserve">el total de </w:t>
      </w:r>
      <w:r>
        <w:t>inscripciones receptadas s</w:t>
      </w:r>
      <w:r w:rsidR="009E6A99">
        <w:t>e debe repartir porcentajes al primero, segundo, tercero, etc. lugares.</w:t>
      </w:r>
    </w:p>
    <w:sectPr w:rsidR="0060509F" w:rsidRPr="00537796" w:rsidSect="0060509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6B8" w:rsidRDefault="004636B8" w:rsidP="008B1F4E">
      <w:pPr>
        <w:spacing w:after="0" w:line="240" w:lineRule="auto"/>
      </w:pPr>
      <w:r>
        <w:separator/>
      </w:r>
    </w:p>
  </w:endnote>
  <w:endnote w:type="continuationSeparator" w:id="0">
    <w:p w:rsidR="004636B8" w:rsidRDefault="004636B8" w:rsidP="008B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6B8" w:rsidRDefault="004636B8" w:rsidP="008B1F4E">
      <w:pPr>
        <w:spacing w:after="0" w:line="240" w:lineRule="auto"/>
      </w:pPr>
      <w:r>
        <w:separator/>
      </w:r>
    </w:p>
  </w:footnote>
  <w:footnote w:type="continuationSeparator" w:id="0">
    <w:p w:rsidR="004636B8" w:rsidRDefault="004636B8" w:rsidP="008B1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F4E" w:rsidRDefault="008B1F4E" w:rsidP="008B1F4E">
    <w:pPr>
      <w:pStyle w:val="Encabezado"/>
      <w:rPr>
        <w:color w:val="365F91" w:themeColor="accent1" w:themeShade="BF"/>
      </w:rPr>
    </w:pPr>
    <w:r>
      <w:rPr>
        <w:noProof/>
        <w:color w:val="365F91" w:themeColor="accent1" w:themeShade="BF"/>
        <w:lang w:eastAsia="es-EC"/>
      </w:rPr>
      <w:drawing>
        <wp:inline distT="0" distB="0" distL="0" distR="0">
          <wp:extent cx="603584" cy="533400"/>
          <wp:effectExtent l="38100" t="0" r="25066" b="152400"/>
          <wp:docPr id="2" name="1 Imagen" descr="masco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cot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584" cy="5334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 w:rsidRPr="000A3D96">
      <w:rPr>
        <w:noProof/>
        <w:color w:val="365F91" w:themeColor="accent1" w:themeShade="BF"/>
        <w:lang w:val="es-ES" w:eastAsia="zh-TW"/>
      </w:rPr>
      <w:pict>
        <v:group id="_x0000_s2049" style="position:absolute;margin-left:1106.3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ño"/>
                      <w:id w:val="78131013"/>
                      <w:placeholder>
                        <w:docPart w:val="27925F52C9AA4E5F86142BC2EE50E1D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1-01-01T00:00:00Z">
                        <w:dateFormat w:val="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8B1F4E" w:rsidRDefault="008B1F4E">
                        <w:pPr>
                          <w:pStyle w:val="Encabezad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2011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placeholder>
          <w:docPart w:val="23FDDE3265D1476FA35CDE1495B3253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Reglamento Polla Copa América Argentina 2011</w:t>
        </w:r>
      </w:sdtContent>
    </w:sdt>
  </w:p>
  <w:p w:rsidR="008B1F4E" w:rsidRDefault="008B1F4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B1F4E"/>
    <w:rsid w:val="00220693"/>
    <w:rsid w:val="004636B8"/>
    <w:rsid w:val="00537796"/>
    <w:rsid w:val="0060509F"/>
    <w:rsid w:val="008B1F4E"/>
    <w:rsid w:val="009E6A99"/>
    <w:rsid w:val="00B138E1"/>
    <w:rsid w:val="00B1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F4E"/>
  </w:style>
  <w:style w:type="paragraph" w:styleId="Piedepgina">
    <w:name w:val="footer"/>
    <w:basedOn w:val="Normal"/>
    <w:link w:val="PiedepginaCar"/>
    <w:uiPriority w:val="99"/>
    <w:semiHidden/>
    <w:unhideWhenUsed/>
    <w:rsid w:val="008B1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B1F4E"/>
  </w:style>
  <w:style w:type="paragraph" w:styleId="Textodeglobo">
    <w:name w:val="Balloon Text"/>
    <w:basedOn w:val="Normal"/>
    <w:link w:val="TextodegloboCar"/>
    <w:uiPriority w:val="99"/>
    <w:semiHidden/>
    <w:unhideWhenUsed/>
    <w:rsid w:val="008B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F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1796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20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a2011.armosof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3FDDE3265D1476FA35CDE1495B3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D8F07-2DF1-4EF4-8B53-CF000203CE0A}"/>
      </w:docPartPr>
      <w:docPartBody>
        <w:p w:rsidR="00000000" w:rsidRDefault="00823FB6" w:rsidP="00823FB6">
          <w:pPr>
            <w:pStyle w:val="23FDDE3265D1476FA35CDE1495B32538"/>
          </w:pPr>
          <w:r>
            <w:rPr>
              <w:color w:val="365F91" w:themeColor="accent1" w:themeShade="BF"/>
              <w:lang w:val="es-ES"/>
            </w:rPr>
            <w:t>[Escribir el título del documento]</w:t>
          </w:r>
        </w:p>
      </w:docPartBody>
    </w:docPart>
    <w:docPart>
      <w:docPartPr>
        <w:name w:val="27925F52C9AA4E5F86142BC2EE50E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77858-1AA1-4879-9525-5BB0EFF83256}"/>
      </w:docPartPr>
      <w:docPartBody>
        <w:p w:rsidR="00000000" w:rsidRDefault="00823FB6" w:rsidP="00823FB6">
          <w:pPr>
            <w:pStyle w:val="27925F52C9AA4E5F86142BC2EE50E1DE"/>
          </w:pPr>
          <w:r>
            <w:rPr>
              <w:b/>
              <w:bCs/>
              <w:color w:val="FFFFFF" w:themeColor="background1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23FB6"/>
    <w:rsid w:val="00823FB6"/>
    <w:rsid w:val="00EE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FDDE3265D1476FA35CDE1495B32538">
    <w:name w:val="23FDDE3265D1476FA35CDE1495B32538"/>
    <w:rsid w:val="00823FB6"/>
  </w:style>
  <w:style w:type="paragraph" w:customStyle="1" w:styleId="27925F52C9AA4E5F86142BC2EE50E1DE">
    <w:name w:val="27925F52C9AA4E5F86142BC2EE50E1DE"/>
    <w:rsid w:val="00823F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ARMOSOFT S.A.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Polla Copa América Argentina 2011</dc:title>
  <dc:subject/>
  <dc:creator>RAFAEL ARTEAGA MOSQUERA</dc:creator>
  <cp:keywords/>
  <dc:description/>
  <cp:lastModifiedBy>RAFAEL ARTEAGA MOSQUERA</cp:lastModifiedBy>
  <cp:revision>1</cp:revision>
  <dcterms:created xsi:type="dcterms:W3CDTF">2011-06-22T22:27:00Z</dcterms:created>
  <dcterms:modified xsi:type="dcterms:W3CDTF">2011-06-23T00:16:00Z</dcterms:modified>
</cp:coreProperties>
</file>