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62531">
      <w:pPr>
        <w:spacing w:before="1600" w:after="160"/>
        <w:jc w:val="center"/>
      </w:pPr>
      <w:r>
        <w:rPr>
          <w:rFonts w:ascii="微软雅黑" w:hAnsi="微软雅黑" w:eastAsia="微软雅黑"/>
          <w:b/>
          <w:i w:val="0"/>
          <w:color w:val="16543B"/>
          <w:sz w:val="52"/>
        </w:rPr>
        <w:t>基于源荷不确定性的水电源荷场景多阶段生成系统</w:t>
      </w:r>
    </w:p>
    <w:p w14:paraId="12C17834">
      <w:pPr>
        <w:spacing w:before="120" w:after="1000"/>
        <w:jc w:val="center"/>
      </w:pPr>
      <w:r>
        <w:rPr>
          <w:rFonts w:ascii="微软雅黑" w:hAnsi="微软雅黑" w:eastAsia="微软雅黑"/>
          <w:b/>
          <w:i w:val="0"/>
          <w:color w:val="2E865A"/>
          <w:sz w:val="34"/>
        </w:rPr>
        <w:t>用  户  操  作  手  册</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4"/>
        <w:gridCol w:w="4394"/>
      </w:tblGrid>
      <w:tr w14:paraId="49ECC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D5A2C20">
            <w:r>
              <w:rPr>
                <w:rFonts w:ascii="微软雅黑" w:hAnsi="微软雅黑" w:eastAsia="微软雅黑"/>
                <w:b/>
                <w:i w:val="0"/>
                <w:color w:val="16543B"/>
                <w:sz w:val="22"/>
              </w:rPr>
              <w:t>版  本</w:t>
            </w:r>
          </w:p>
        </w:tc>
        <w:tc>
          <w:tcPr>
            <w:tcW w:w="4394" w:type="dxa"/>
            <w:tcBorders>
              <w:top w:val="single" w:color="A8D5B5" w:sz="4" w:space="0"/>
              <w:left w:val="single" w:color="A8D5B5" w:sz="4" w:space="0"/>
              <w:bottom w:val="single" w:color="A8D5B5" w:sz="4" w:space="0"/>
              <w:right w:val="single" w:color="A8D5B5" w:sz="4" w:space="0"/>
            </w:tcBorders>
          </w:tcPr>
          <w:p w14:paraId="1542B31C">
            <w:r>
              <w:rPr>
                <w:rFonts w:ascii="微软雅黑" w:hAnsi="微软雅黑" w:eastAsia="微软雅黑"/>
                <w:b w:val="0"/>
                <w:i w:val="0"/>
                <w:color w:val="1A1A1A"/>
                <w:sz w:val="22"/>
              </w:rPr>
              <w:t>V1.0</w:t>
            </w:r>
          </w:p>
        </w:tc>
      </w:tr>
      <w:tr w14:paraId="1949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5815B5D4">
            <w:r>
              <w:rPr>
                <w:rFonts w:ascii="微软雅黑" w:hAnsi="微软雅黑" w:eastAsia="微软雅黑"/>
                <w:b/>
                <w:i w:val="0"/>
                <w:color w:val="16543B"/>
                <w:sz w:val="22"/>
              </w:rPr>
              <w:t>编制单位</w:t>
            </w:r>
          </w:p>
        </w:tc>
        <w:tc>
          <w:tcPr>
            <w:tcW w:w="4394" w:type="dxa"/>
            <w:tcBorders>
              <w:top w:val="single" w:color="A8D5B5" w:sz="4" w:space="0"/>
              <w:left w:val="single" w:color="A8D5B5" w:sz="4" w:space="0"/>
              <w:bottom w:val="single" w:color="A8D5B5" w:sz="4" w:space="0"/>
              <w:right w:val="single" w:color="A8D5B5" w:sz="4" w:space="0"/>
            </w:tcBorders>
          </w:tcPr>
          <w:p w14:paraId="35127300">
            <w:r>
              <w:rPr>
                <w:rFonts w:ascii="微软雅黑" w:hAnsi="微软雅黑" w:eastAsia="微软雅黑"/>
                <w:b w:val="0"/>
                <w:i w:val="0"/>
                <w:color w:val="1A1A1A"/>
                <w:sz w:val="22"/>
              </w:rPr>
              <w:t>电力调度技术研究中心</w:t>
            </w:r>
          </w:p>
        </w:tc>
      </w:tr>
      <w:tr w14:paraId="6CE0F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7C8CDF3">
            <w:r>
              <w:rPr>
                <w:rFonts w:ascii="微软雅黑" w:hAnsi="微软雅黑" w:eastAsia="微软雅黑"/>
                <w:b/>
                <w:i w:val="0"/>
                <w:color w:val="16543B"/>
                <w:sz w:val="22"/>
              </w:rPr>
              <w:t>编制日期</w:t>
            </w:r>
          </w:p>
        </w:tc>
        <w:tc>
          <w:tcPr>
            <w:tcW w:w="4394" w:type="dxa"/>
            <w:tcBorders>
              <w:top w:val="single" w:color="A8D5B5" w:sz="4" w:space="0"/>
              <w:left w:val="single" w:color="A8D5B5" w:sz="4" w:space="0"/>
              <w:bottom w:val="single" w:color="A8D5B5" w:sz="4" w:space="0"/>
              <w:right w:val="single" w:color="A8D5B5" w:sz="4" w:space="0"/>
            </w:tcBorders>
          </w:tcPr>
          <w:p w14:paraId="2188C159">
            <w:r>
              <w:rPr>
                <w:rFonts w:ascii="微软雅黑" w:hAnsi="微软雅黑" w:eastAsia="微软雅黑"/>
                <w:b w:val="0"/>
                <w:i w:val="0"/>
                <w:color w:val="1A1A1A"/>
                <w:sz w:val="22"/>
              </w:rPr>
              <w:t>2026-04-30</w:t>
            </w:r>
          </w:p>
        </w:tc>
      </w:tr>
      <w:tr w14:paraId="1A506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083E5E95">
            <w:r>
              <w:rPr>
                <w:rFonts w:ascii="微软雅黑" w:hAnsi="微软雅黑" w:eastAsia="微软雅黑"/>
                <w:b/>
                <w:i w:val="0"/>
                <w:color w:val="16543B"/>
                <w:sz w:val="22"/>
              </w:rPr>
              <w:t>适用人群</w:t>
            </w:r>
          </w:p>
        </w:tc>
        <w:tc>
          <w:tcPr>
            <w:tcW w:w="4394" w:type="dxa"/>
            <w:tcBorders>
              <w:top w:val="single" w:color="A8D5B5" w:sz="4" w:space="0"/>
              <w:left w:val="single" w:color="A8D5B5" w:sz="4" w:space="0"/>
              <w:bottom w:val="single" w:color="A8D5B5" w:sz="4" w:space="0"/>
              <w:right w:val="single" w:color="A8D5B5" w:sz="4" w:space="0"/>
            </w:tcBorders>
          </w:tcPr>
          <w:p w14:paraId="361A3F65">
            <w:r>
              <w:rPr>
                <w:rFonts w:ascii="微软雅黑" w:hAnsi="微软雅黑" w:eastAsia="微软雅黑"/>
                <w:b w:val="0"/>
                <w:i w:val="0"/>
                <w:color w:val="1A1A1A"/>
                <w:sz w:val="22"/>
              </w:rPr>
              <w:t>调度分析员、数据分析员、运维工程师、系统管理员</w:t>
            </w:r>
          </w:p>
        </w:tc>
      </w:tr>
    </w:tbl>
    <w:p w14:paraId="138E061B">
      <w:r>
        <w:br w:type="page"/>
      </w:r>
    </w:p>
    <w:p w14:paraId="505D3BE4">
      <w:pPr>
        <w:pStyle w:val="3"/>
        <w:spacing w:before="400" w:after="120"/>
      </w:pPr>
      <w:r>
        <w:rPr>
          <w:rFonts w:ascii="微软雅黑" w:hAnsi="微软雅黑" w:eastAsia="微软雅黑"/>
          <w:b/>
          <w:i w:val="0"/>
          <w:color w:val="16543B"/>
          <w:sz w:val="32"/>
        </w:rPr>
        <w:t>1. 系统简介</w:t>
      </w:r>
    </w:p>
    <w:p w14:paraId="115872FF">
      <w:pPr>
        <w:spacing w:before="0" w:after="160"/>
      </w:pPr>
      <w:r>
        <w:rPr>
          <w:rFonts w:ascii="微软雅黑" w:hAnsi="微软雅黑" w:eastAsia="微软雅黑"/>
          <w:b w:val="0"/>
          <w:i w:val="0"/>
          <w:color w:val="1A1A1A"/>
          <w:sz w:val="21"/>
        </w:rPr>
        <w:t>基于源荷不确定性的水电源荷场景多阶段生成系统是面向水电系统调度的综合管理平台，融合实时源荷数据采集、T-LSTM 概率预测、多智能体强化学习（MARL）协同决策、多阶段场景生成与评估三大核心模块，采用 Tucker 分解的轻量化 LSTM 模型对水电、风电、光伏出力与负荷进行多时间尺度概率预测，结合 5 类专业智能体（水电/火电/可再生/储能/负荷）的协同优化策略，通过蒙特卡洛模拟生成符合源荷不确定性分布的多阶段场景集合，为水电系统的调度决策、风险评估和备用容量规划提供数据支撑。</w:t>
      </w:r>
    </w:p>
    <w:p w14:paraId="4A8560AD">
      <w:pPr>
        <w:pStyle w:val="4"/>
        <w:spacing w:before="320" w:after="100"/>
      </w:pPr>
      <w:r>
        <w:rPr>
          <w:rFonts w:ascii="微软雅黑" w:hAnsi="微软雅黑" w:eastAsia="微软雅黑"/>
          <w:b/>
          <w:i w:val="0"/>
          <w:color w:val="16543B"/>
          <w:sz w:val="28"/>
        </w:rPr>
        <w:t>1.1 适用人群</w:t>
      </w:r>
    </w:p>
    <w:p w14:paraId="440DC8CA">
      <w:pPr>
        <w:spacing w:before="0" w:after="160"/>
      </w:pPr>
      <w:r>
        <w:rPr>
          <w:rFonts w:ascii="微软雅黑" w:hAnsi="微软雅黑" w:eastAsia="微软雅黑"/>
          <w:b w:val="0"/>
          <w:i w:val="0"/>
          <w:color w:val="1A1A1A"/>
          <w:sz w:val="21"/>
        </w:rPr>
        <w:t>本手册面向四类用户：系统管理员（用户账号管理与系统维护）、调度分析员（场景生成、调度策略评估）、数据分析员（实时数据管理、模型与场景评估）、运维工程师（预测模型管理、MARL 仿真任务管理）。</w:t>
      </w:r>
    </w:p>
    <w:p w14:paraId="59B25984">
      <w:pPr>
        <w:pStyle w:val="4"/>
        <w:spacing w:before="320" w:after="100"/>
      </w:pPr>
      <w:r>
        <w:rPr>
          <w:rFonts w:ascii="微软雅黑" w:hAnsi="微软雅黑" w:eastAsia="微软雅黑"/>
          <w:b/>
          <w:i w:val="0"/>
          <w:color w:val="16543B"/>
          <w:sz w:val="28"/>
        </w:rPr>
        <w:t>1.2 登录系统</w:t>
      </w:r>
    </w:p>
    <w:p w14:paraId="5A5BEBAD">
      <w:pPr>
        <w:spacing w:before="20" w:after="80"/>
        <w:ind w:left="340"/>
      </w:pPr>
      <w:r>
        <w:rPr>
          <w:rFonts w:ascii="微软雅黑" w:hAnsi="微软雅黑" w:eastAsia="微软雅黑"/>
          <w:b w:val="0"/>
          <w:i w:val="0"/>
          <w:color w:val="1A1A1A"/>
          <w:sz w:val="21"/>
        </w:rPr>
        <w:t>① 打开浏览器，输入系统地址：http://localhost:5174</w:t>
      </w:r>
    </w:p>
    <w:p w14:paraId="60AC4C0E">
      <w:pPr>
        <w:spacing w:before="20" w:after="80"/>
        <w:ind w:left="340"/>
      </w:pPr>
      <w:r>
        <w:rPr>
          <w:rFonts w:ascii="微软雅黑" w:hAnsi="微软雅黑" w:eastAsia="微软雅黑"/>
          <w:b w:val="0"/>
          <w:i w:val="0"/>
          <w:color w:val="1A1A1A"/>
          <w:sz w:val="21"/>
        </w:rPr>
        <w:t>② 在登录页面输入账号和密码，点击【登录】</w:t>
      </w:r>
    </w:p>
    <w:p w14:paraId="32B1D1E8">
      <w:pPr>
        <w:spacing w:before="20" w:after="80"/>
        <w:ind w:left="340"/>
      </w:pPr>
      <w:r>
        <w:rPr>
          <w:rFonts w:ascii="微软雅黑" w:hAnsi="微软雅黑" w:eastAsia="微软雅黑"/>
          <w:b w:val="0"/>
          <w:i w:val="0"/>
          <w:color w:val="1A1A1A"/>
          <w:sz w:val="21"/>
        </w:rPr>
        <w:t>③ 首次登录请修改初始密码，确保账号安全</w:t>
      </w:r>
    </w:p>
    <w:p w14:paraId="1CF13DDE">
      <w:pPr>
        <w:spacing w:before="20" w:after="80"/>
        <w:ind w:left="340"/>
      </w:pPr>
      <w:r>
        <w:rPr>
          <w:rFonts w:ascii="微软雅黑" w:hAnsi="微软雅黑" w:eastAsia="微软雅黑"/>
          <w:b w:val="0"/>
          <w:i w:val="0"/>
          <w:color w:val="1A1A1A"/>
          <w:sz w:val="21"/>
        </w:rPr>
        <w:t>④ 登录成功后，顶部导航栏可切换各功能模块</w:t>
      </w:r>
    </w:p>
    <w:p w14:paraId="5582B682">
      <w:pPr>
        <w:spacing w:before="80" w:after="280"/>
        <w:rPr>
          <w:rFonts w:ascii="微软雅黑" w:hAnsi="微软雅黑" w:eastAsia="微软雅黑"/>
          <w:b w:val="0"/>
          <w:i w:val="0"/>
          <w:color w:val="555555"/>
          <w:sz w:val="20"/>
        </w:rPr>
      </w:pPr>
      <w:r>
        <w:rPr>
          <w:rFonts w:ascii="微软雅黑" w:hAnsi="微软雅黑" w:eastAsia="微软雅黑"/>
          <w:b/>
          <w:i w:val="0"/>
          <w:color w:val="CC0000"/>
          <w:sz w:val="20"/>
        </w:rPr>
        <w:t>提示：</w:t>
      </w:r>
      <w:r>
        <w:rPr>
          <w:rFonts w:ascii="微软雅黑" w:hAnsi="微软雅黑" w:eastAsia="微软雅黑"/>
          <w:b w:val="0"/>
          <w:i w:val="0"/>
          <w:color w:val="555555"/>
          <w:sz w:val="20"/>
        </w:rPr>
        <w:t xml:space="preserve"> 连续输错密码 5 次账号将被锁定；超过 120 分钟无操作系统将自动退出，请注意保存工作。</w:t>
      </w:r>
    </w:p>
    <w:p w14:paraId="6301CC10">
      <w:pPr>
        <w:spacing w:before="80" w:after="280"/>
        <w:rPr>
          <w:rFonts w:ascii="微软雅黑" w:hAnsi="微软雅黑" w:eastAsia="微软雅黑"/>
          <w:b w:val="0"/>
          <w:i w:val="0"/>
          <w:color w:val="555555"/>
          <w:sz w:val="20"/>
        </w:rPr>
      </w:pPr>
      <w:r>
        <w:rPr>
          <w:rFonts w:hint="eastAsia" w:ascii="微软雅黑" w:hAnsi="微软雅黑" w:eastAsia="微软雅黑"/>
          <w:b w:val="0"/>
          <w:i w:val="0"/>
          <w:color w:val="555555"/>
          <w:sz w:val="20"/>
        </w:rPr>
        <w:t xml:space="preserve"> </w:t>
      </w:r>
      <w:r>
        <w:drawing>
          <wp:inline distT="0" distB="0" distL="114300" distR="114300">
            <wp:extent cx="5575300" cy="3574415"/>
            <wp:effectExtent l="0" t="0" r="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575300" cy="3574415"/>
                    </a:xfrm>
                    <a:prstGeom prst="rect">
                      <a:avLst/>
                    </a:prstGeom>
                    <a:noFill/>
                    <a:ln>
                      <a:noFill/>
                    </a:ln>
                  </pic:spPr>
                </pic:pic>
              </a:graphicData>
            </a:graphic>
          </wp:inline>
        </w:drawing>
      </w:r>
      <w:bookmarkStart w:id="0" w:name="_GoBack"/>
      <w:bookmarkEnd w:id="0"/>
    </w:p>
    <w:p w14:paraId="31DFC6E8">
      <w:r>
        <w:br w:type="page"/>
      </w:r>
    </w:p>
    <w:p w14:paraId="129564FD">
      <w:pPr>
        <w:pStyle w:val="3"/>
        <w:spacing w:before="400" w:after="120"/>
      </w:pPr>
      <w:r>
        <w:rPr>
          <w:rFonts w:ascii="微软雅黑" w:hAnsi="微软雅黑" w:eastAsia="微软雅黑"/>
          <w:b/>
          <w:i w:val="0"/>
          <w:color w:val="16543B"/>
          <w:sz w:val="32"/>
        </w:rPr>
        <w:t>2. 功能操作说明</w:t>
      </w:r>
    </w:p>
    <w:p w14:paraId="73E123B1">
      <w:pPr>
        <w:spacing w:before="0" w:after="0"/>
      </w:pPr>
    </w:p>
    <w:p w14:paraId="50404958">
      <w:pPr>
        <w:pStyle w:val="4"/>
        <w:spacing w:before="320" w:after="100"/>
      </w:pPr>
      <w:r>
        <w:rPr>
          <w:rFonts w:ascii="微软雅黑" w:hAnsi="微软雅黑" w:eastAsia="微软雅黑"/>
          <w:b/>
          <w:i w:val="0"/>
          <w:color w:val="16543B"/>
          <w:sz w:val="28"/>
        </w:rPr>
        <w:t>第1章　系统登录与首页总览</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用户登录系统后进入首页总览，集中展示实时数据条数、预测模型数、MARL 仿真次数、场景集合数等核心指标，并通过饼图、柱状图直观呈现系统运行状态。</w:t>
      </w:r>
    </w:p>
    <w:p w14:paraId="757C0165">
      <w:pPr>
        <w:spacing w:before="80" w:after="280"/>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pic:cNvPicPr>
                      <a:picLocks noChangeAspect="1"/>
                    </pic:cNvPicPr>
                  </pic:nvPicPr>
                  <pic:blipFill>
                    <a:blip r:embed="rId8"/>
                    <a:stretch>
                      <a:fillRect/>
                    </a:stretch>
                  </pic:blipFill>
                  <pic:spPr>
                    <a:xfrm>
                      <a:off x="0" y="0"/>
                      <a:ext cx="5486400" cy="3291840"/>
                    </a:xfrm>
                    <a:prstGeom prst="rect">
                      <a:avLst/>
                    </a:prstGeom>
                  </pic:spPr>
                </pic:pic>
              </a:graphicData>
            </a:graphic>
          </wp:inline>
        </w:drawing>
      </w:r>
    </w:p>
    <w:p w14:paraId="3203442C"/>
    <w:p w14:paraId="70268A40">
      <w:pPr>
        <w:pStyle w:val="5"/>
        <w:spacing w:before="240" w:after="80"/>
      </w:pPr>
      <w:r>
        <w:rPr>
          <w:rFonts w:ascii="微软雅黑" w:hAnsi="微软雅黑" w:eastAsia="微软雅黑"/>
          <w:b/>
          <w:i w:val="0"/>
          <w:color w:val="2E865A"/>
          <w:sz w:val="24"/>
        </w:rPr>
        <w:t>1.1　系统登录</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通过用户名和密码完成身份认证，获取 JWT Token 后进入系统主界面。</w:t>
      </w:r>
    </w:p>
    <w:p w14:paraId="26765CFC">
      <w:pPr>
        <w:spacing w:before="0" w:after="0"/>
      </w:pPr>
    </w:p>
    <w:p w14:paraId="79292753">
      <w:pPr>
        <w:pStyle w:val="6"/>
        <w:spacing w:before="160" w:after="60"/>
      </w:pPr>
      <w:r>
        <w:rPr>
          <w:rFonts w:ascii="微软雅黑" w:hAnsi="微软雅黑" w:eastAsia="微软雅黑"/>
          <w:b/>
          <w:i w:val="0"/>
          <w:color w:val="2E865A"/>
          <w:sz w:val="22"/>
        </w:rPr>
        <w:t>用户登录</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验证用户名密码，生成 JWT Token 并跳转首页。</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
                    <pic:cNvPicPr>
                      <a:picLocks noChangeAspect="1"/>
                    </pic:cNvPicPr>
                  </pic:nvPicPr>
                  <pic:blipFill>
                    <a:blip r:embed="rId8"/>
                    <a:stretch>
                      <a:fillRect/>
                    </a:stretch>
                  </pic:blipFill>
                  <pic:spPr>
                    <a:xfrm>
                      <a:off x="0" y="0"/>
                      <a:ext cx="5486400" cy="3291840"/>
                    </a:xfrm>
                    <a:prstGeom prst="rect">
                      <a:avLst/>
                    </a:prstGeom>
                  </pic:spPr>
                </pic:pic>
              </a:graphicData>
            </a:graphic>
          </wp:inline>
        </w:drawing>
      </w:r>
    </w:p>
    <w:p w14:paraId="06E1A3E1">
      <w:pPr>
        <w:spacing w:before="0" w:after="0"/>
      </w:pPr>
    </w:p>
    <w:p w14:paraId="4329971F">
      <w:pPr>
        <w:spacing w:before="160" w:after="40"/>
      </w:pPr>
      <w:r>
        <w:rPr>
          <w:rFonts w:ascii="微软雅黑" w:hAnsi="微软雅黑" w:eastAsia="微软雅黑"/>
          <w:b/>
          <w:i w:val="0"/>
          <w:color w:val="2E865A"/>
          <w:sz w:val="21"/>
        </w:rPr>
        <w:t>【1】登录系统</w:t>
      </w:r>
    </w:p>
    <w:p w14:paraId="52E0DFB1">
      <w:pPr>
        <w:spacing w:before="0" w:after="0"/>
      </w:pP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打开浏览器，访问系统地址 http://localhost:5174，系统自动跳转至登录页面</w:t>
      </w:r>
    </w:p>
    <w:p w14:paraId="5E955C68">
      <w:pPr>
        <w:spacing w:before="0" w:after="0"/>
      </w:pPr>
    </w:p>
    <w:p w14:paraId="1A515ECD">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在【用户名】输入框输入账号，在【密码】输入框输入对应密码（默认管理员：admin / Admin1234!）</w:t>
      </w:r>
    </w:p>
    <w:p w14:paraId="348F8611">
      <w:pPr>
        <w:spacing w:before="0" w:after="0"/>
      </w:pPr>
    </w:p>
    <w:p w14:paraId="146741F3">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点击【登录】按钮，验证通过后获取 Token 并跳转至首页总览</w:t>
      </w:r>
    </w:p>
    <w:p w14:paraId="391A03A6">
      <w:pPr>
        <w:spacing w:before="0" w:after="0"/>
      </w:pPr>
    </w:p>
    <w:p w14:paraId="226DB726">
      <w:pPr>
        <w:spacing w:before="0" w:after="0"/>
      </w:pPr>
    </w:p>
    <w:p w14:paraId="7797374C">
      <w:pPr>
        <w:spacing w:before="60" w:after="0"/>
        <w:ind w:left="397"/>
      </w:pPr>
      <w:r>
        <w:rPr>
          <w:rFonts w:ascii="微软雅黑" w:hAnsi="微软雅黑" w:eastAsia="微软雅黑"/>
          <w:b/>
          <w:i w:val="0"/>
          <w:color w:val="CC0000"/>
          <w:sz w:val="20"/>
        </w:rPr>
        <w:t>注意：</w:t>
      </w:r>
    </w:p>
    <w:p w14:paraId="07D1E564">
      <w:pPr>
        <w:spacing w:before="0" w:after="0"/>
      </w:pP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连续输错5次密码将锁定账号，需联系管理员解锁</w:t>
      </w:r>
    </w:p>
    <w:p w14:paraId="2AD49315">
      <w:pPr>
        <w:spacing w:before="0" w:after="0"/>
      </w:pPr>
    </w:p>
    <w:p w14:paraId="61C362F0">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登录 Token 有效期为 120 分钟，超时后需重新登录</w:t>
      </w:r>
    </w:p>
    <w:p w14:paraId="4F2481B9">
      <w:pPr>
        <w:spacing w:before="0" w:after="0"/>
      </w:pPr>
    </w:p>
    <w:p w14:paraId="12D907B7">
      <w:pPr>
        <w:spacing w:before="0" w:after="0"/>
      </w:pPr>
    </w:p>
    <w:p w14:paraId="26ED401F">
      <w:pPr>
        <w:spacing w:before="0" w:after="40"/>
      </w:pPr>
    </w:p>
    <w:p w14:paraId="6482F3DB">
      <w:pPr>
        <w:spacing w:before="0" w:after="0"/>
      </w:pPr>
    </w:p>
    <w:p w14:paraId="44AD005B">
      <w:pPr>
        <w:spacing w:before="0" w:after="0"/>
      </w:pPr>
    </w:p>
    <w:p w14:paraId="523D29AC">
      <w:pPr>
        <w:spacing w:before="0" w:after="0"/>
      </w:pPr>
    </w:p>
    <w:p w14:paraId="3EC0C3D4">
      <w:pPr>
        <w:pStyle w:val="5"/>
        <w:spacing w:before="240" w:after="80"/>
      </w:pPr>
      <w:r>
        <w:rPr>
          <w:rFonts w:ascii="微软雅黑" w:hAnsi="微软雅黑" w:eastAsia="微软雅黑"/>
          <w:b/>
          <w:i w:val="0"/>
          <w:color w:val="2E865A"/>
          <w:sz w:val="24"/>
        </w:rPr>
        <w:t>1.2　首页总览</w:t>
      </w:r>
    </w:p>
    <w:p w14:paraId="7C893912">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展示全系统当前运行状态快照，包含核心指标卡片、数据分布饼图、场景质量分布柱状图与系统运行状态表。</w:t>
      </w:r>
    </w:p>
    <w:p w14:paraId="3A2E30B5">
      <w:pPr>
        <w:spacing w:before="0" w:after="0"/>
      </w:pPr>
    </w:p>
    <w:p w14:paraId="0555FF5E">
      <w:pPr>
        <w:pStyle w:val="6"/>
        <w:spacing w:before="160" w:after="60"/>
      </w:pPr>
      <w:r>
        <w:rPr>
          <w:rFonts w:ascii="微软雅黑" w:hAnsi="微软雅黑" w:eastAsia="微软雅黑"/>
          <w:b/>
          <w:i w:val="0"/>
          <w:color w:val="2E865A"/>
          <w:sz w:val="22"/>
        </w:rPr>
        <w:t>实时运行指标</w:t>
      </w:r>
    </w:p>
    <w:p w14:paraId="5D4C5F3C">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以卡片形式展示实时数据条数、预测模型数、MARL 仿真次数、场景集合数四项核心指标。</w:t>
      </w:r>
    </w:p>
    <w:p w14:paraId="0C283E7F">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
                    <pic:cNvPicPr>
                      <a:picLocks noChangeAspect="1"/>
                    </pic:cNvPicPr>
                  </pic:nvPicPr>
                  <pic:blipFill>
                    <a:blip r:embed="rId9"/>
                    <a:stretch>
                      <a:fillRect/>
                    </a:stretch>
                  </pic:blipFill>
                  <pic:spPr>
                    <a:xfrm>
                      <a:off x="0" y="0"/>
                      <a:ext cx="5486400" cy="3291840"/>
                    </a:xfrm>
                    <a:prstGeom prst="rect">
                      <a:avLst/>
                    </a:prstGeom>
                  </pic:spPr>
                </pic:pic>
              </a:graphicData>
            </a:graphic>
          </wp:inline>
        </w:drawing>
      </w:r>
    </w:p>
    <w:p w14:paraId="79920CDF">
      <w:pPr>
        <w:spacing w:before="0" w:after="0"/>
      </w:pPr>
    </w:p>
    <w:p w14:paraId="3AFFB685">
      <w:pPr>
        <w:spacing w:before="160" w:after="40"/>
      </w:pPr>
      <w:r>
        <w:rPr>
          <w:rFonts w:ascii="微软雅黑" w:hAnsi="微软雅黑" w:eastAsia="微软雅黑"/>
          <w:b/>
          <w:i w:val="0"/>
          <w:color w:val="2E865A"/>
          <w:sz w:val="21"/>
        </w:rPr>
        <w:t>【1】查看首页总览</w:t>
      </w:r>
    </w:p>
    <w:p w14:paraId="5B4A8284">
      <w:pPr>
        <w:spacing w:before="0" w:after="0"/>
      </w:pPr>
    </w:p>
    <w:p w14:paraId="641D15FC">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登录成功后自动进入首页，或点击左侧导航【首页总览】</w:t>
      </w:r>
    </w:p>
    <w:p w14:paraId="5862936D">
      <w:pPr>
        <w:spacing w:before="0" w:after="0"/>
      </w:pPr>
    </w:p>
    <w:p w14:paraId="2E32BAE2">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顶部展示四张指标卡片：实时数据条数、预测模型数、MARL 仿真次数、场景集合数</w:t>
      </w:r>
    </w:p>
    <w:p w14:paraId="44491614">
      <w:pPr>
        <w:spacing w:before="0" w:after="0"/>
      </w:pPr>
    </w:p>
    <w:p w14:paraId="39A77D63">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中部左侧饼图展示水电/风电/光伏/负荷四类数据分布，右侧柱状图展示场景质量等级分布</w:t>
      </w:r>
    </w:p>
    <w:p w14:paraId="07ECCE03">
      <w:pPr>
        <w:spacing w:before="0" w:after="0"/>
      </w:pPr>
    </w:p>
    <w:p w14:paraId="75F0DE8D">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步骤4　</w:t>
      </w:r>
      <w:r>
        <w:rPr>
          <w:rFonts w:ascii="微软雅黑" w:hAnsi="微软雅黑" w:eastAsia="微软雅黑"/>
          <w:b w:val="0"/>
          <w:i w:val="0"/>
          <w:color w:val="1A1A1A"/>
          <w:sz w:val="20"/>
        </w:rPr>
        <w:t>底部系统运行状态表展示后端服务、数据库、预测引擎、MARL 环境运行状态</w:t>
      </w:r>
    </w:p>
    <w:p w14:paraId="4D4B10A6">
      <w:pPr>
        <w:spacing w:before="0" w:after="0"/>
      </w:pPr>
    </w:p>
    <w:p w14:paraId="3DBACC7D">
      <w:pPr>
        <w:spacing w:before="0" w:after="0"/>
      </w:pPr>
    </w:p>
    <w:p w14:paraId="03105D65">
      <w:pPr>
        <w:spacing w:before="60" w:after="0"/>
        <w:ind w:left="397"/>
      </w:pPr>
      <w:r>
        <w:rPr>
          <w:rFonts w:ascii="微软雅黑" w:hAnsi="微软雅黑" w:eastAsia="微软雅黑"/>
          <w:b/>
          <w:i w:val="0"/>
          <w:color w:val="CC0000"/>
          <w:sz w:val="20"/>
        </w:rPr>
        <w:t>注意：</w:t>
      </w:r>
    </w:p>
    <w:p w14:paraId="213DB306">
      <w:pPr>
        <w:spacing w:before="0" w:after="0"/>
      </w:pPr>
    </w:p>
    <w:p w14:paraId="741772A2">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首页指标数据每次刷新页面时实时拉取后端 API</w:t>
      </w:r>
    </w:p>
    <w:p w14:paraId="50D63153">
      <w:pPr>
        <w:spacing w:before="0" w:after="0"/>
      </w:pPr>
    </w:p>
    <w:p w14:paraId="25258E63">
      <w:pPr>
        <w:spacing w:before="0" w:after="0"/>
      </w:pPr>
    </w:p>
    <w:p w14:paraId="30FBF81D">
      <w:pPr>
        <w:spacing w:before="0" w:after="40"/>
      </w:pPr>
    </w:p>
    <w:p w14:paraId="11007564">
      <w:pPr>
        <w:spacing w:before="0" w:after="0"/>
      </w:pPr>
    </w:p>
    <w:p w14:paraId="12105FD5">
      <w:pPr>
        <w:spacing w:before="0" w:after="0"/>
      </w:pPr>
    </w:p>
    <w:p w14:paraId="39DC4556">
      <w:pPr>
        <w:spacing w:before="0" w:after="0"/>
      </w:pPr>
    </w:p>
    <w:p w14:paraId="74A94EA3">
      <w:pPr>
        <w:spacing w:before="0" w:after="0"/>
      </w:pPr>
    </w:p>
    <w:p w14:paraId="23731D44">
      <w:pPr>
        <w:pStyle w:val="4"/>
        <w:spacing w:before="320" w:after="100"/>
      </w:pPr>
      <w:r>
        <w:rPr>
          <w:rFonts w:ascii="微软雅黑" w:hAnsi="微软雅黑" w:eastAsia="微软雅黑"/>
          <w:b/>
          <w:i w:val="0"/>
          <w:color w:val="16543B"/>
          <w:sz w:val="28"/>
        </w:rPr>
        <w:t>第2章　实时源荷数据采集</w:t>
      </w:r>
    </w:p>
    <w:p w14:paraId="61D5B81F">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采集和管理水电、风电、光伏、负荷四类实时数据，提供完整的增删改查、过滤查询、批量清洗异常数据等管理功能，为预测模型与场景生成提供数据基础。</w:t>
      </w:r>
    </w:p>
    <w:p w14:paraId="7F0B955C">
      <w:pPr>
        <w:spacing w:before="80" w:after="280"/>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
                    <pic:cNvPicPr>
                      <a:picLocks noChangeAspect="1"/>
                    </pic:cNvPicPr>
                  </pic:nvPicPr>
                  <pic:blipFill>
                    <a:blip r:embed="rId10"/>
                    <a:stretch>
                      <a:fillRect/>
                    </a:stretch>
                  </pic:blipFill>
                  <pic:spPr>
                    <a:xfrm>
                      <a:off x="0" y="0"/>
                      <a:ext cx="5486400" cy="3291840"/>
                    </a:xfrm>
                    <a:prstGeom prst="rect">
                      <a:avLst/>
                    </a:prstGeom>
                  </pic:spPr>
                </pic:pic>
              </a:graphicData>
            </a:graphic>
          </wp:inline>
        </w:drawing>
      </w:r>
    </w:p>
    <w:p w14:paraId="1FEFDA38"/>
    <w:p w14:paraId="1F131981">
      <w:pPr>
        <w:pStyle w:val="5"/>
        <w:spacing w:before="240" w:after="80"/>
      </w:pPr>
      <w:r>
        <w:rPr>
          <w:rFonts w:ascii="微软雅黑" w:hAnsi="微软雅黑" w:eastAsia="微软雅黑"/>
          <w:b/>
          <w:i w:val="0"/>
          <w:color w:val="2E865A"/>
          <w:sz w:val="24"/>
        </w:rPr>
        <w:t>2.1　实时源荷数据管理</w:t>
      </w:r>
    </w:p>
    <w:p w14:paraId="7E3AFCC4">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对实时源荷数据进行新增、查看、编辑、删除管理，支持按数据类型与电站名称过滤。</w:t>
      </w:r>
    </w:p>
    <w:p w14:paraId="7999BA79">
      <w:pPr>
        <w:spacing w:before="0" w:after="0"/>
      </w:pPr>
    </w:p>
    <w:p w14:paraId="1EA03DFF">
      <w:pPr>
        <w:pStyle w:val="6"/>
        <w:spacing w:before="160" w:after="60"/>
      </w:pPr>
      <w:r>
        <w:rPr>
          <w:rFonts w:ascii="微软雅黑" w:hAnsi="微软雅黑" w:eastAsia="微软雅黑"/>
          <w:b/>
          <w:i w:val="0"/>
          <w:color w:val="2E865A"/>
          <w:sz w:val="22"/>
        </w:rPr>
        <w:t>实时源荷数据</w:t>
      </w:r>
    </w:p>
    <w:p w14:paraId="2CC36DF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管理水电、风电、光伏、负荷四类实时数据的全生命周期。</w:t>
      </w:r>
    </w:p>
    <w:p w14:paraId="115DACE1">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
                    <pic:cNvPicPr>
                      <a:picLocks noChangeAspect="1"/>
                    </pic:cNvPicPr>
                  </pic:nvPicPr>
                  <pic:blipFill>
                    <a:blip r:embed="rId10"/>
                    <a:stretch>
                      <a:fillRect/>
                    </a:stretch>
                  </pic:blipFill>
                  <pic:spPr>
                    <a:xfrm>
                      <a:off x="0" y="0"/>
                      <a:ext cx="5486400" cy="3291840"/>
                    </a:xfrm>
                    <a:prstGeom prst="rect">
                      <a:avLst/>
                    </a:prstGeom>
                  </pic:spPr>
                </pic:pic>
              </a:graphicData>
            </a:graphic>
          </wp:inline>
        </w:drawing>
      </w:r>
    </w:p>
    <w:p w14:paraId="5D96ED59">
      <w:pPr>
        <w:spacing w:before="0" w:after="0"/>
      </w:pPr>
    </w:p>
    <w:p w14:paraId="20CAAAAC">
      <w:pPr>
        <w:spacing w:before="160" w:after="40"/>
      </w:pPr>
      <w:r>
        <w:rPr>
          <w:rFonts w:ascii="微软雅黑" w:hAnsi="微软雅黑" w:eastAsia="微软雅黑"/>
          <w:b/>
          <w:i w:val="0"/>
          <w:color w:val="2E865A"/>
          <w:sz w:val="21"/>
        </w:rPr>
        <w:t>【1】查看数据列表</w:t>
      </w:r>
    </w:p>
    <w:p w14:paraId="2DB28988">
      <w:pPr>
        <w:spacing w:before="0" w:after="0"/>
      </w:pPr>
    </w:p>
    <w:p w14:paraId="0342CAC8">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点击左侧导航【源荷数据管理】→【实时数据采集】，进入数据列表页</w:t>
      </w:r>
    </w:p>
    <w:p w14:paraId="688A4669">
      <w:pPr>
        <w:spacing w:before="0" w:after="0"/>
      </w:pPr>
    </w:p>
    <w:p w14:paraId="3F10FD5B">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列表展示所有记录，字段包括：ID、数据类型、电站名称、电站编号、数值(MW)、采集时间、质量标志、已清洗</w:t>
      </w:r>
    </w:p>
    <w:p w14:paraId="5D1C8F4F">
      <w:pPr>
        <w:spacing w:before="0" w:after="0"/>
      </w:pPr>
    </w:p>
    <w:p w14:paraId="525CA15C">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通过顶部筛选区切换数据类型（水电/风电/光伏/负荷）或输入电站名称进行过滤查询</w:t>
      </w:r>
    </w:p>
    <w:p w14:paraId="26B10F27">
      <w:pPr>
        <w:spacing w:before="0" w:after="0"/>
      </w:pPr>
    </w:p>
    <w:p w14:paraId="779AFF0B">
      <w:pPr>
        <w:spacing w:before="0" w:after="0"/>
      </w:pPr>
    </w:p>
    <w:p w14:paraId="2AC9A411">
      <w:pPr>
        <w:spacing w:before="0" w:after="40"/>
      </w:pPr>
    </w:p>
    <w:p w14:paraId="4E00ADA6">
      <w:pPr>
        <w:spacing w:before="0" w:after="0"/>
      </w:pPr>
    </w:p>
    <w:p w14:paraId="78EEC9C3">
      <w:pPr>
        <w:spacing w:before="160" w:after="40"/>
      </w:pPr>
      <w:r>
        <w:rPr>
          <w:rFonts w:ascii="微软雅黑" w:hAnsi="微软雅黑" w:eastAsia="微软雅黑"/>
          <w:b/>
          <w:i w:val="0"/>
          <w:color w:val="2E865A"/>
          <w:sz w:val="21"/>
        </w:rPr>
        <w:t>【2】新增实时数据</w:t>
      </w:r>
    </w:p>
    <w:p w14:paraId="56A348D9">
      <w:pPr>
        <w:spacing w:before="0" w:after="0"/>
      </w:pPr>
    </w:p>
    <w:p w14:paraId="079A251C">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点击【新增数据】按钮，弹出表单对话框</w:t>
      </w:r>
    </w:p>
    <w:p w14:paraId="6C4258C3">
      <w:pPr>
        <w:spacing w:before="0" w:after="0"/>
      </w:pPr>
    </w:p>
    <w:p w14:paraId="76D2C4B3">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选择数据类型，输入电站名称、电站编号、数值(MW)、采集时间，选择质量标志</w:t>
      </w:r>
    </w:p>
    <w:p w14:paraId="18D5916F">
      <w:pPr>
        <w:spacing w:before="0" w:after="0"/>
      </w:pPr>
    </w:p>
    <w:p w14:paraId="6A568861">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点击【保存】提交，提示成功后列表自动刷新</w:t>
      </w:r>
    </w:p>
    <w:p w14:paraId="7E1B2D6C">
      <w:pPr>
        <w:spacing w:before="0" w:after="0"/>
      </w:pPr>
    </w:p>
    <w:p w14:paraId="7462CE01">
      <w:pPr>
        <w:spacing w:before="0" w:after="0"/>
      </w:pPr>
    </w:p>
    <w:p w14:paraId="05D425D0">
      <w:pPr>
        <w:spacing w:before="60" w:after="0"/>
        <w:ind w:left="397"/>
      </w:pPr>
      <w:r>
        <w:rPr>
          <w:rFonts w:ascii="微软雅黑" w:hAnsi="微软雅黑" w:eastAsia="微软雅黑"/>
          <w:b/>
          <w:i w:val="0"/>
          <w:color w:val="CC0000"/>
          <w:sz w:val="20"/>
        </w:rPr>
        <w:t>注意：</w:t>
      </w:r>
    </w:p>
    <w:p w14:paraId="220645DD">
      <w:pPr>
        <w:spacing w:before="0" w:after="0"/>
      </w:pPr>
    </w:p>
    <w:p w14:paraId="5A160B1C">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数据类型、电站名称、数值、采集时间为必填字段</w:t>
      </w:r>
    </w:p>
    <w:p w14:paraId="2FDF8938">
      <w:pPr>
        <w:spacing w:before="0" w:after="0"/>
      </w:pPr>
    </w:p>
    <w:p w14:paraId="332F127E">
      <w:pPr>
        <w:spacing w:before="0" w:after="0"/>
      </w:pPr>
    </w:p>
    <w:p w14:paraId="62F16F80">
      <w:pPr>
        <w:spacing w:before="0" w:after="40"/>
      </w:pPr>
    </w:p>
    <w:p w14:paraId="66EAD8EA">
      <w:pPr>
        <w:spacing w:before="0" w:after="0"/>
      </w:pPr>
    </w:p>
    <w:p w14:paraId="2AC81556">
      <w:pPr>
        <w:spacing w:before="160" w:after="40"/>
      </w:pPr>
      <w:r>
        <w:rPr>
          <w:rFonts w:ascii="微软雅黑" w:hAnsi="微软雅黑" w:eastAsia="微软雅黑"/>
          <w:b/>
          <w:i w:val="0"/>
          <w:color w:val="2E865A"/>
          <w:sz w:val="21"/>
        </w:rPr>
        <w:t>【3】编辑/删除数据</w:t>
      </w:r>
    </w:p>
    <w:p w14:paraId="538890C8">
      <w:pPr>
        <w:spacing w:before="0" w:after="0"/>
      </w:pPr>
    </w:p>
    <w:p w14:paraId="4352298C">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在列表中找到目标记录，点击该行【编辑】按钮修改字段，或【删除】按钮触发确认</w:t>
      </w:r>
    </w:p>
    <w:p w14:paraId="6E25AF3A">
      <w:pPr>
        <w:spacing w:before="0" w:after="0"/>
      </w:pPr>
    </w:p>
    <w:p w14:paraId="164D90E2">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对话框确认后保存或删除，列表自动刷新</w:t>
      </w:r>
    </w:p>
    <w:p w14:paraId="3D8BE1DF">
      <w:pPr>
        <w:spacing w:before="0" w:after="0"/>
      </w:pPr>
    </w:p>
    <w:p w14:paraId="0DFBA941">
      <w:pPr>
        <w:spacing w:before="0" w:after="0"/>
      </w:pPr>
    </w:p>
    <w:p w14:paraId="57686A2D">
      <w:pPr>
        <w:spacing w:before="60" w:after="0"/>
        <w:ind w:left="397"/>
      </w:pPr>
      <w:r>
        <w:rPr>
          <w:rFonts w:ascii="微软雅黑" w:hAnsi="微软雅黑" w:eastAsia="微软雅黑"/>
          <w:b/>
          <w:i w:val="0"/>
          <w:color w:val="CC0000"/>
          <w:sz w:val="20"/>
        </w:rPr>
        <w:t>注意：</w:t>
      </w:r>
    </w:p>
    <w:p w14:paraId="611719A2">
      <w:pPr>
        <w:spacing w:before="0" w:after="0"/>
      </w:pPr>
    </w:p>
    <w:p w14:paraId="4BEB8860">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删除操作不可撤销</w:t>
      </w:r>
    </w:p>
    <w:p w14:paraId="4E4221FD">
      <w:pPr>
        <w:spacing w:before="0" w:after="0"/>
      </w:pPr>
    </w:p>
    <w:p w14:paraId="57FA89D1">
      <w:pPr>
        <w:spacing w:before="0" w:after="0"/>
      </w:pPr>
    </w:p>
    <w:p w14:paraId="34CAA808">
      <w:pPr>
        <w:spacing w:before="0" w:after="40"/>
      </w:pPr>
    </w:p>
    <w:p w14:paraId="2C86DD1D">
      <w:pPr>
        <w:spacing w:before="0" w:after="0"/>
      </w:pPr>
    </w:p>
    <w:p w14:paraId="2AF8A135">
      <w:pPr>
        <w:spacing w:before="160" w:after="40"/>
      </w:pPr>
      <w:r>
        <w:rPr>
          <w:rFonts w:ascii="微软雅黑" w:hAnsi="微软雅黑" w:eastAsia="微软雅黑"/>
          <w:b/>
          <w:i w:val="0"/>
          <w:color w:val="2E865A"/>
          <w:sz w:val="21"/>
        </w:rPr>
        <w:t>【4】批量清洗异常数据</w:t>
      </w:r>
    </w:p>
    <w:p w14:paraId="6956413F">
      <w:pPr>
        <w:spacing w:before="0" w:after="0"/>
      </w:pPr>
    </w:p>
    <w:p w14:paraId="208CEED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点击【批量清洗异常】按钮，系统自动将所有 quality_flag=warning 的数据标记为已清洗</w:t>
      </w:r>
    </w:p>
    <w:p w14:paraId="3EE2095C">
      <w:pPr>
        <w:spacing w:before="0" w:after="0"/>
      </w:pPr>
    </w:p>
    <w:p w14:paraId="0020265B">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提示弹出 “批量清洗成功: N 条” 后列表自动刷新，已清洗列显示绿色勾</w:t>
      </w:r>
    </w:p>
    <w:p w14:paraId="370A3204">
      <w:pPr>
        <w:spacing w:before="0" w:after="0"/>
      </w:pPr>
    </w:p>
    <w:p w14:paraId="2A90D76B">
      <w:pPr>
        <w:spacing w:before="0" w:after="0"/>
      </w:pPr>
    </w:p>
    <w:p w14:paraId="27F51CA7">
      <w:pPr>
        <w:spacing w:before="60" w:after="0"/>
        <w:ind w:left="397"/>
      </w:pPr>
      <w:r>
        <w:rPr>
          <w:rFonts w:ascii="微软雅黑" w:hAnsi="微软雅黑" w:eastAsia="微软雅黑"/>
          <w:b/>
          <w:i w:val="0"/>
          <w:color w:val="CC0000"/>
          <w:sz w:val="20"/>
        </w:rPr>
        <w:t>注意：</w:t>
      </w:r>
    </w:p>
    <w:p w14:paraId="633FDB6F">
      <w:pPr>
        <w:spacing w:before="0" w:after="0"/>
      </w:pPr>
    </w:p>
    <w:p w14:paraId="5F556B4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批量清洗会将异常值替换为原始值并标记 is_cleaned=true</w:t>
      </w:r>
    </w:p>
    <w:p w14:paraId="3578879E">
      <w:pPr>
        <w:spacing w:before="0" w:after="0"/>
      </w:pPr>
    </w:p>
    <w:p w14:paraId="07F09FB2">
      <w:pPr>
        <w:spacing w:before="0" w:after="0"/>
      </w:pPr>
    </w:p>
    <w:p w14:paraId="403E4B04">
      <w:pPr>
        <w:spacing w:before="0" w:after="40"/>
      </w:pPr>
    </w:p>
    <w:p w14:paraId="0239DB48">
      <w:pPr>
        <w:spacing w:before="0" w:after="0"/>
      </w:pPr>
    </w:p>
    <w:p w14:paraId="1A111975">
      <w:pPr>
        <w:spacing w:before="0" w:after="0"/>
      </w:pPr>
    </w:p>
    <w:p w14:paraId="00EC8196">
      <w:pPr>
        <w:spacing w:before="0" w:after="0"/>
      </w:pPr>
    </w:p>
    <w:p w14:paraId="5898F156">
      <w:pPr>
        <w:spacing w:before="0" w:after="0"/>
      </w:pPr>
    </w:p>
    <w:p w14:paraId="1D83AB56">
      <w:pPr>
        <w:pStyle w:val="4"/>
        <w:spacing w:before="320" w:after="100"/>
      </w:pPr>
      <w:r>
        <w:rPr>
          <w:rFonts w:ascii="微软雅黑" w:hAnsi="微软雅黑" w:eastAsia="微软雅黑"/>
          <w:b/>
          <w:i w:val="0"/>
          <w:color w:val="16543B"/>
          <w:sz w:val="28"/>
        </w:rPr>
        <w:t>第3章　T-LSTM 预测模型与预测任务</w:t>
      </w:r>
    </w:p>
    <w:p w14:paraId="517BED1E">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提供基于 Tucker 分解轻量化 LSTM（T-LSTM）的概率预测模型配置与预测任务执行管理。模型支持短期(24h)、中期(7d)、长期(3mo)三种时间尺度，输出 PICP、CRPS、RMSE 三项概率预测精度评分。</w:t>
      </w:r>
    </w:p>
    <w:p w14:paraId="53773F8B">
      <w:pPr>
        <w:spacing w:before="80" w:after="280"/>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
                    <pic:cNvPicPr>
                      <a:picLocks noChangeAspect="1"/>
                    </pic:cNvPicPr>
                  </pic:nvPicPr>
                  <pic:blipFill>
                    <a:blip r:embed="rId11"/>
                    <a:stretch>
                      <a:fillRect/>
                    </a:stretch>
                  </pic:blipFill>
                  <pic:spPr>
                    <a:xfrm>
                      <a:off x="0" y="0"/>
                      <a:ext cx="5486400" cy="3291840"/>
                    </a:xfrm>
                    <a:prstGeom prst="rect">
                      <a:avLst/>
                    </a:prstGeom>
                  </pic:spPr>
                </pic:pic>
              </a:graphicData>
            </a:graphic>
          </wp:inline>
        </w:drawing>
      </w:r>
    </w:p>
    <w:p w14:paraId="7B73C06F"/>
    <w:p w14:paraId="36F7062C">
      <w:pPr>
        <w:pStyle w:val="5"/>
        <w:spacing w:before="240" w:after="80"/>
      </w:pPr>
      <w:r>
        <w:rPr>
          <w:rFonts w:ascii="微软雅黑" w:hAnsi="微软雅黑" w:eastAsia="微软雅黑"/>
          <w:b/>
          <w:i w:val="0"/>
          <w:color w:val="2E865A"/>
          <w:sz w:val="24"/>
        </w:rPr>
        <w:t>3.1　预测模型配置</w:t>
      </w:r>
    </w:p>
    <w:p w14:paraId="07C663FE">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对 T-LSTM 预测模型的网络结构、Tucker 分解秩、损失函数权重等超参数进行配置，并管理模型的活跃状态。</w:t>
      </w:r>
    </w:p>
    <w:p w14:paraId="6E6DB840">
      <w:pPr>
        <w:spacing w:before="0" w:after="0"/>
      </w:pPr>
    </w:p>
    <w:p w14:paraId="33770A36">
      <w:pPr>
        <w:pStyle w:val="6"/>
        <w:spacing w:before="160" w:after="60"/>
      </w:pPr>
      <w:r>
        <w:rPr>
          <w:rFonts w:ascii="微软雅黑" w:hAnsi="微软雅黑" w:eastAsia="微软雅黑"/>
          <w:b/>
          <w:i w:val="0"/>
          <w:color w:val="2E865A"/>
          <w:sz w:val="22"/>
        </w:rPr>
        <w:t>预测模型配置</w:t>
      </w:r>
    </w:p>
    <w:p w14:paraId="0B13C7B6">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管理 T-LSTM 模型的创建、参数修改、激活、归档与删除。</w:t>
      </w:r>
    </w:p>
    <w:p w14:paraId="399E3B2E">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1"/>
                    <pic:cNvPicPr>
                      <a:picLocks noChangeAspect="1"/>
                    </pic:cNvPicPr>
                  </pic:nvPicPr>
                  <pic:blipFill>
                    <a:blip r:embed="rId11"/>
                    <a:stretch>
                      <a:fillRect/>
                    </a:stretch>
                  </pic:blipFill>
                  <pic:spPr>
                    <a:xfrm>
                      <a:off x="0" y="0"/>
                      <a:ext cx="5486400" cy="3291840"/>
                    </a:xfrm>
                    <a:prstGeom prst="rect">
                      <a:avLst/>
                    </a:prstGeom>
                  </pic:spPr>
                </pic:pic>
              </a:graphicData>
            </a:graphic>
          </wp:inline>
        </w:drawing>
      </w:r>
    </w:p>
    <w:p w14:paraId="77620CD7">
      <w:pPr>
        <w:spacing w:before="0" w:after="0"/>
      </w:pPr>
    </w:p>
    <w:p w14:paraId="27F0859E">
      <w:pPr>
        <w:spacing w:before="160" w:after="40"/>
      </w:pPr>
      <w:r>
        <w:rPr>
          <w:rFonts w:ascii="微软雅黑" w:hAnsi="微软雅黑" w:eastAsia="微软雅黑"/>
          <w:b/>
          <w:i w:val="0"/>
          <w:color w:val="2E865A"/>
          <w:sz w:val="21"/>
        </w:rPr>
        <w:t>【1】查看模型列表</w:t>
      </w:r>
    </w:p>
    <w:p w14:paraId="7103DF56">
      <w:pPr>
        <w:spacing w:before="0" w:after="0"/>
      </w:pPr>
    </w:p>
    <w:p w14:paraId="327A5FE2">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点击左侧导航【源荷数据管理】→【预测模型配置】，进入模型列表页</w:t>
      </w:r>
    </w:p>
    <w:p w14:paraId="6B590F7A">
      <w:pPr>
        <w:spacing w:before="0" w:after="0"/>
      </w:pPr>
    </w:p>
    <w:p w14:paraId="2243415F">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列表展示模型名称、编号、状态(活跃/归档/草稿)、LSTM层数、隐藏维度、训练PICP、训练RMSE</w:t>
      </w:r>
    </w:p>
    <w:p w14:paraId="68C9C237">
      <w:pPr>
        <w:spacing w:before="0" w:after="0"/>
      </w:pPr>
    </w:p>
    <w:p w14:paraId="6DDD4DBF">
      <w:pPr>
        <w:spacing w:before="0" w:after="0"/>
      </w:pPr>
    </w:p>
    <w:p w14:paraId="52F02CF0">
      <w:pPr>
        <w:spacing w:before="0" w:after="40"/>
      </w:pPr>
    </w:p>
    <w:p w14:paraId="2E465850">
      <w:pPr>
        <w:spacing w:before="0" w:after="0"/>
      </w:pPr>
    </w:p>
    <w:p w14:paraId="3D4ED75D">
      <w:pPr>
        <w:spacing w:before="160" w:after="40"/>
      </w:pPr>
      <w:r>
        <w:rPr>
          <w:rFonts w:ascii="微软雅黑" w:hAnsi="微软雅黑" w:eastAsia="微软雅黑"/>
          <w:b/>
          <w:i w:val="0"/>
          <w:color w:val="2E865A"/>
          <w:sz w:val="21"/>
        </w:rPr>
        <w:t>【2】新建预测模型</w:t>
      </w:r>
    </w:p>
    <w:p w14:paraId="2863BFCB">
      <w:pPr>
        <w:spacing w:before="0" w:after="0"/>
      </w:pPr>
    </w:p>
    <w:p w14:paraId="21DB84AC">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点击【新建模型】按钮，弹出模型参数对话框</w:t>
      </w:r>
    </w:p>
    <w:p w14:paraId="6AC4BA8D">
      <w:pPr>
        <w:spacing w:before="0" w:after="0"/>
      </w:pPr>
    </w:p>
    <w:p w14:paraId="4C965E6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依次输入模型名称、模型编号、LSTM层数、隐藏维度、输入窗口、Tucker秩(R1/R2/R3)、损失函数权重(α/β/γ)</w:t>
      </w:r>
    </w:p>
    <w:p w14:paraId="73CC25BE">
      <w:pPr>
        <w:spacing w:before="0" w:after="0"/>
      </w:pPr>
    </w:p>
    <w:p w14:paraId="79547AF2">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点击【保存】提交，提示成功后列表自动刷新</w:t>
      </w:r>
    </w:p>
    <w:p w14:paraId="74C37FD8">
      <w:pPr>
        <w:spacing w:before="0" w:after="0"/>
      </w:pPr>
    </w:p>
    <w:p w14:paraId="3F2A0B33">
      <w:pPr>
        <w:spacing w:before="0" w:after="0"/>
      </w:pPr>
    </w:p>
    <w:p w14:paraId="6C098491">
      <w:pPr>
        <w:spacing w:before="60" w:after="0"/>
        <w:ind w:left="397"/>
      </w:pPr>
      <w:r>
        <w:rPr>
          <w:rFonts w:ascii="微软雅黑" w:hAnsi="微软雅黑" w:eastAsia="微软雅黑"/>
          <w:b/>
          <w:i w:val="0"/>
          <w:color w:val="CC0000"/>
          <w:sz w:val="20"/>
        </w:rPr>
        <w:t>注意：</w:t>
      </w:r>
    </w:p>
    <w:p w14:paraId="38AD0A74">
      <w:pPr>
        <w:spacing w:before="0" w:after="0"/>
      </w:pPr>
    </w:p>
    <w:p w14:paraId="55D53B4C">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LSTM 层数建议 2-4 层，隐藏维度建议 64/128/256；α+β+γ 建议接近 1.0</w:t>
      </w:r>
    </w:p>
    <w:p w14:paraId="1E589270">
      <w:pPr>
        <w:spacing w:before="0" w:after="0"/>
      </w:pPr>
    </w:p>
    <w:p w14:paraId="2AA5ED8A">
      <w:pPr>
        <w:spacing w:before="0" w:after="0"/>
      </w:pPr>
    </w:p>
    <w:p w14:paraId="2C53E116">
      <w:pPr>
        <w:spacing w:before="0" w:after="40"/>
      </w:pPr>
    </w:p>
    <w:p w14:paraId="79642E7C">
      <w:pPr>
        <w:spacing w:before="0" w:after="0"/>
      </w:pPr>
    </w:p>
    <w:p w14:paraId="70EE72B9">
      <w:pPr>
        <w:spacing w:before="160" w:after="40"/>
      </w:pPr>
      <w:r>
        <w:rPr>
          <w:rFonts w:ascii="微软雅黑" w:hAnsi="微软雅黑" w:eastAsia="微软雅黑"/>
          <w:b/>
          <w:i w:val="0"/>
          <w:color w:val="2E865A"/>
          <w:sz w:val="21"/>
        </w:rPr>
        <w:t>【3】激活模型</w:t>
      </w:r>
    </w:p>
    <w:p w14:paraId="676C52B6">
      <w:pPr>
        <w:spacing w:before="0" w:after="0"/>
      </w:pPr>
    </w:p>
    <w:p w14:paraId="161EEDF6">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在列表中点击非活跃模型行的【激活】按钮</w:t>
      </w:r>
    </w:p>
    <w:p w14:paraId="572CA0ED">
      <w:pPr>
        <w:spacing w:before="0" w:after="0"/>
      </w:pPr>
    </w:p>
    <w:p w14:paraId="2E8D094C">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系统自动归档当前活跃模型并将所选模型标记为活跃，提示成功后列表自动刷新</w:t>
      </w:r>
    </w:p>
    <w:p w14:paraId="05CFF349">
      <w:pPr>
        <w:spacing w:before="0" w:after="0"/>
      </w:pPr>
    </w:p>
    <w:p w14:paraId="4DBDA996">
      <w:pPr>
        <w:spacing w:before="0" w:after="0"/>
      </w:pPr>
    </w:p>
    <w:p w14:paraId="0862052C">
      <w:pPr>
        <w:spacing w:before="60" w:after="0"/>
        <w:ind w:left="397"/>
      </w:pPr>
      <w:r>
        <w:rPr>
          <w:rFonts w:ascii="微软雅黑" w:hAnsi="微软雅黑" w:eastAsia="微软雅黑"/>
          <w:b/>
          <w:i w:val="0"/>
          <w:color w:val="CC0000"/>
          <w:sz w:val="20"/>
        </w:rPr>
        <w:t>注意：</w:t>
      </w:r>
    </w:p>
    <w:p w14:paraId="0DF8EE6C">
      <w:pPr>
        <w:spacing w:before="0" w:after="0"/>
      </w:pPr>
    </w:p>
    <w:p w14:paraId="0673634F">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同一时刻系统中仅有一个活跃模型用于真实预测任务</w:t>
      </w:r>
    </w:p>
    <w:p w14:paraId="51D06627">
      <w:pPr>
        <w:spacing w:before="0" w:after="0"/>
      </w:pPr>
    </w:p>
    <w:p w14:paraId="541141F2">
      <w:pPr>
        <w:spacing w:before="0" w:after="0"/>
      </w:pPr>
    </w:p>
    <w:p w14:paraId="7113889E">
      <w:pPr>
        <w:spacing w:before="0" w:after="40"/>
      </w:pPr>
    </w:p>
    <w:p w14:paraId="6849572C">
      <w:pPr>
        <w:spacing w:before="0" w:after="0"/>
      </w:pPr>
    </w:p>
    <w:p w14:paraId="61976CD5">
      <w:pPr>
        <w:spacing w:before="160" w:after="40"/>
      </w:pPr>
      <w:r>
        <w:rPr>
          <w:rFonts w:ascii="微软雅黑" w:hAnsi="微软雅黑" w:eastAsia="微软雅黑"/>
          <w:b/>
          <w:i w:val="0"/>
          <w:color w:val="2E865A"/>
          <w:sz w:val="21"/>
        </w:rPr>
        <w:t>【4】编辑/删除模型</w:t>
      </w:r>
    </w:p>
    <w:p w14:paraId="3F44DD01">
      <w:pPr>
        <w:spacing w:before="0" w:after="0"/>
      </w:pPr>
    </w:p>
    <w:p w14:paraId="1A058119">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点击模型行【编辑】修改超参数，或【删除】按钮删除草稿/归档模型</w:t>
      </w:r>
    </w:p>
    <w:p w14:paraId="79BB4EB8">
      <w:pPr>
        <w:spacing w:before="0" w:after="0"/>
      </w:pPr>
    </w:p>
    <w:p w14:paraId="6951AF25">
      <w:pPr>
        <w:spacing w:before="0" w:after="0"/>
      </w:pPr>
    </w:p>
    <w:p w14:paraId="7607906B">
      <w:pPr>
        <w:spacing w:before="60" w:after="0"/>
        <w:ind w:left="397"/>
      </w:pPr>
      <w:r>
        <w:rPr>
          <w:rFonts w:ascii="微软雅黑" w:hAnsi="微软雅黑" w:eastAsia="微软雅黑"/>
          <w:b/>
          <w:i w:val="0"/>
          <w:color w:val="CC0000"/>
          <w:sz w:val="20"/>
        </w:rPr>
        <w:t>注意：</w:t>
      </w:r>
    </w:p>
    <w:p w14:paraId="1E8E5D4A">
      <w:pPr>
        <w:spacing w:before="0" w:after="0"/>
      </w:pPr>
    </w:p>
    <w:p w14:paraId="3A339C87">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建议删除前先归档；活跃模型不建议直接删除</w:t>
      </w:r>
    </w:p>
    <w:p w14:paraId="6E7014D1">
      <w:pPr>
        <w:spacing w:before="0" w:after="0"/>
      </w:pPr>
    </w:p>
    <w:p w14:paraId="06B03AA7">
      <w:pPr>
        <w:spacing w:before="0" w:after="0"/>
      </w:pPr>
    </w:p>
    <w:p w14:paraId="1B9DF58A">
      <w:pPr>
        <w:spacing w:before="0" w:after="40"/>
      </w:pPr>
    </w:p>
    <w:p w14:paraId="6311B3CE">
      <w:pPr>
        <w:spacing w:before="0" w:after="0"/>
      </w:pPr>
    </w:p>
    <w:p w14:paraId="6F98DCE5">
      <w:pPr>
        <w:spacing w:before="0" w:after="0"/>
      </w:pPr>
    </w:p>
    <w:p w14:paraId="57A1442E">
      <w:pPr>
        <w:spacing w:before="0" w:after="0"/>
      </w:pPr>
    </w:p>
    <w:p w14:paraId="6722708C">
      <w:pPr>
        <w:pStyle w:val="5"/>
        <w:spacing w:before="240" w:after="80"/>
      </w:pPr>
      <w:r>
        <w:rPr>
          <w:rFonts w:ascii="微软雅黑" w:hAnsi="微软雅黑" w:eastAsia="微软雅黑"/>
          <w:b/>
          <w:i w:val="0"/>
          <w:color w:val="2E865A"/>
          <w:sz w:val="24"/>
        </w:rPr>
        <w:t>3.2　预测任务执行</w:t>
      </w:r>
    </w:p>
    <w:p w14:paraId="1BB17CA2">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基于已激活的 T-LSTM 模型创建短期/中期/长期预测任务并执行，输出概率预测精度评分。</w:t>
      </w:r>
    </w:p>
    <w:p w14:paraId="12225302">
      <w:pPr>
        <w:spacing w:before="0" w:after="0"/>
      </w:pPr>
    </w:p>
    <w:p w14:paraId="1444753E">
      <w:pPr>
        <w:pStyle w:val="6"/>
        <w:spacing w:before="160" w:after="60"/>
      </w:pPr>
      <w:r>
        <w:rPr>
          <w:rFonts w:ascii="微软雅黑" w:hAnsi="微软雅黑" w:eastAsia="微软雅黑"/>
          <w:b/>
          <w:i w:val="0"/>
          <w:color w:val="2E865A"/>
          <w:sz w:val="22"/>
        </w:rPr>
        <w:t>预测任务</w:t>
      </w:r>
    </w:p>
    <w:p w14:paraId="6834A8FA">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管理预测任务的创建、启动执行、结果查看与删除。</w:t>
      </w:r>
    </w:p>
    <w:p w14:paraId="2FED4766">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1"/>
                    <pic:cNvPicPr>
                      <a:picLocks noChangeAspect="1"/>
                    </pic:cNvPicPr>
                  </pic:nvPicPr>
                  <pic:blipFill>
                    <a:blip r:embed="rId11"/>
                    <a:stretch>
                      <a:fillRect/>
                    </a:stretch>
                  </pic:blipFill>
                  <pic:spPr>
                    <a:xfrm>
                      <a:off x="0" y="0"/>
                      <a:ext cx="5486400" cy="3291840"/>
                    </a:xfrm>
                    <a:prstGeom prst="rect">
                      <a:avLst/>
                    </a:prstGeom>
                  </pic:spPr>
                </pic:pic>
              </a:graphicData>
            </a:graphic>
          </wp:inline>
        </w:drawing>
      </w:r>
    </w:p>
    <w:p w14:paraId="492F7DFA">
      <w:pPr>
        <w:spacing w:before="0" w:after="0"/>
      </w:pPr>
    </w:p>
    <w:p w14:paraId="5E7D3AFD">
      <w:pPr>
        <w:spacing w:before="160" w:after="40"/>
      </w:pPr>
      <w:r>
        <w:rPr>
          <w:rFonts w:ascii="微软雅黑" w:hAnsi="微软雅黑" w:eastAsia="微软雅黑"/>
          <w:b/>
          <w:i w:val="0"/>
          <w:color w:val="2E865A"/>
          <w:sz w:val="21"/>
        </w:rPr>
        <w:t>【1】新建预测任务</w:t>
      </w:r>
    </w:p>
    <w:p w14:paraId="5BEB41C6">
      <w:pPr>
        <w:spacing w:before="0" w:after="0"/>
      </w:pPr>
    </w:p>
    <w:p w14:paraId="6B8998A6">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在预测模型页面下方任务列表，点击【新建任务】按钮</w:t>
      </w:r>
    </w:p>
    <w:p w14:paraId="6099CBCF">
      <w:pPr>
        <w:spacing w:before="0" w:after="0"/>
      </w:pPr>
    </w:p>
    <w:p w14:paraId="55A5FFF5">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输入任务名称、选择关联模型、选择时间尺度（短期24h/中期7d/长期3mo）</w:t>
      </w:r>
    </w:p>
    <w:p w14:paraId="40F70642">
      <w:pPr>
        <w:spacing w:before="0" w:after="0"/>
      </w:pPr>
    </w:p>
    <w:p w14:paraId="6729D3DF">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点击【保存】，任务以 pending 状态创建</w:t>
      </w:r>
    </w:p>
    <w:p w14:paraId="33BF253B">
      <w:pPr>
        <w:spacing w:before="0" w:after="0"/>
      </w:pPr>
    </w:p>
    <w:p w14:paraId="1DA0512C">
      <w:pPr>
        <w:spacing w:before="0" w:after="0"/>
      </w:pPr>
    </w:p>
    <w:p w14:paraId="0F58C278">
      <w:pPr>
        <w:spacing w:before="0" w:after="40"/>
      </w:pPr>
    </w:p>
    <w:p w14:paraId="150ADDCD">
      <w:pPr>
        <w:spacing w:before="0" w:after="0"/>
      </w:pPr>
    </w:p>
    <w:p w14:paraId="20E480AC">
      <w:pPr>
        <w:spacing w:before="160" w:after="40"/>
      </w:pPr>
      <w:r>
        <w:rPr>
          <w:rFonts w:ascii="微软雅黑" w:hAnsi="微软雅黑" w:eastAsia="微软雅黑"/>
          <w:b/>
          <w:i w:val="0"/>
          <w:color w:val="2E865A"/>
          <w:sz w:val="21"/>
        </w:rPr>
        <w:t>【2】启动预测任务</w:t>
      </w:r>
    </w:p>
    <w:p w14:paraId="71766E58">
      <w:pPr>
        <w:spacing w:before="0" w:after="0"/>
      </w:pPr>
    </w:p>
    <w:p w14:paraId="50242648">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在任务列表中找到 pending 状态的任务，点击【启动】按钮</w:t>
      </w:r>
    </w:p>
    <w:p w14:paraId="613F8DB1">
      <w:pPr>
        <w:spacing w:before="0" w:after="0"/>
      </w:pPr>
    </w:p>
    <w:p w14:paraId="047A9C7C">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系统执行预测计算，任务状态由 pending → running → completed</w:t>
      </w:r>
    </w:p>
    <w:p w14:paraId="52474F2D">
      <w:pPr>
        <w:spacing w:before="0" w:after="0"/>
      </w:pPr>
    </w:p>
    <w:p w14:paraId="4FA81E29">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完成后任务行显示 PICP（区间覆盖率）和 RMSE（均方根误差）评分</w:t>
      </w:r>
    </w:p>
    <w:p w14:paraId="4270FABF">
      <w:pPr>
        <w:spacing w:before="0" w:after="0"/>
      </w:pPr>
    </w:p>
    <w:p w14:paraId="56E77DD3">
      <w:pPr>
        <w:spacing w:before="0" w:after="0"/>
      </w:pPr>
    </w:p>
    <w:p w14:paraId="2F31465E">
      <w:pPr>
        <w:spacing w:before="60" w:after="0"/>
        <w:ind w:left="397"/>
      </w:pPr>
      <w:r>
        <w:rPr>
          <w:rFonts w:ascii="微软雅黑" w:hAnsi="微软雅黑" w:eastAsia="微软雅黑"/>
          <w:b/>
          <w:i w:val="0"/>
          <w:color w:val="CC0000"/>
          <w:sz w:val="20"/>
        </w:rPr>
        <w:t>注意：</w:t>
      </w:r>
    </w:p>
    <w:p w14:paraId="677568AE">
      <w:pPr>
        <w:spacing w:before="0" w:after="0"/>
      </w:pPr>
    </w:p>
    <w:p w14:paraId="2CD93CC9">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仅 pending 状态的任务可启动；completed/failed 状态不可重新启动</w:t>
      </w:r>
    </w:p>
    <w:p w14:paraId="1AA34281">
      <w:pPr>
        <w:spacing w:before="0" w:after="0"/>
      </w:pPr>
    </w:p>
    <w:p w14:paraId="69262E3B">
      <w:pPr>
        <w:spacing w:before="0" w:after="0"/>
      </w:pPr>
    </w:p>
    <w:p w14:paraId="358913BA">
      <w:pPr>
        <w:spacing w:before="0" w:after="40"/>
      </w:pPr>
    </w:p>
    <w:p w14:paraId="4412E1CF">
      <w:pPr>
        <w:spacing w:before="0" w:after="0"/>
      </w:pPr>
    </w:p>
    <w:p w14:paraId="7BB9001F">
      <w:pPr>
        <w:spacing w:before="0" w:after="0"/>
      </w:pPr>
    </w:p>
    <w:p w14:paraId="6BD1386F">
      <w:pPr>
        <w:spacing w:before="0" w:after="0"/>
      </w:pPr>
    </w:p>
    <w:p w14:paraId="6C34472C">
      <w:pPr>
        <w:spacing w:before="0" w:after="0"/>
      </w:pPr>
    </w:p>
    <w:p w14:paraId="47515EA9">
      <w:pPr>
        <w:pStyle w:val="4"/>
        <w:spacing w:before="320" w:after="100"/>
      </w:pPr>
      <w:r>
        <w:rPr>
          <w:rFonts w:ascii="微软雅黑" w:hAnsi="微软雅黑" w:eastAsia="微软雅黑"/>
          <w:b/>
          <w:i w:val="0"/>
          <w:color w:val="16543B"/>
          <w:sz w:val="28"/>
        </w:rPr>
        <w:t>第4章　MARL 环境与智能体配置</w:t>
      </w:r>
    </w:p>
    <w:p w14:paraId="72B30D8D">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配置多智能体强化学习（MARL）的仿真环境与 5 类专业智能体（水电/火电/可再生/储能/负荷），定义动作空间与多目标奖励权重(W1-W5)，为协同调度决策提供策略基础。</w:t>
      </w:r>
    </w:p>
    <w:p w14:paraId="3EE47FB3">
      <w:pPr>
        <w:spacing w:before="80" w:after="280"/>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1"/>
                    <pic:cNvPicPr>
                      <a:picLocks noChangeAspect="1"/>
                    </pic:cNvPicPr>
                  </pic:nvPicPr>
                  <pic:blipFill>
                    <a:blip r:embed="rId12"/>
                    <a:stretch>
                      <a:fillRect/>
                    </a:stretch>
                  </pic:blipFill>
                  <pic:spPr>
                    <a:xfrm>
                      <a:off x="0" y="0"/>
                      <a:ext cx="5486400" cy="3291840"/>
                    </a:xfrm>
                    <a:prstGeom prst="rect">
                      <a:avLst/>
                    </a:prstGeom>
                  </pic:spPr>
                </pic:pic>
              </a:graphicData>
            </a:graphic>
          </wp:inline>
        </w:drawing>
      </w:r>
    </w:p>
    <w:p w14:paraId="171F1739"/>
    <w:p w14:paraId="22227F91">
      <w:pPr>
        <w:pStyle w:val="5"/>
        <w:spacing w:before="240" w:after="80"/>
      </w:pPr>
      <w:r>
        <w:rPr>
          <w:rFonts w:ascii="微软雅黑" w:hAnsi="微软雅黑" w:eastAsia="微软雅黑"/>
          <w:b/>
          <w:i w:val="0"/>
          <w:color w:val="2E865A"/>
          <w:sz w:val="24"/>
        </w:rPr>
        <w:t>4.1　MARL 环境配置</w:t>
      </w:r>
    </w:p>
    <w:p w14:paraId="2C945C62">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定义 MARL 仿真环境的物理结构（机组数量）、电网约束（电压/输电）和水电运行约束（生态流量/水库容量）。</w:t>
      </w:r>
    </w:p>
    <w:p w14:paraId="55FA9129">
      <w:pPr>
        <w:spacing w:before="0" w:after="0"/>
      </w:pPr>
    </w:p>
    <w:p w14:paraId="3E8B5300">
      <w:pPr>
        <w:pStyle w:val="6"/>
        <w:spacing w:before="160" w:after="60"/>
      </w:pPr>
      <w:r>
        <w:rPr>
          <w:rFonts w:ascii="微软雅黑" w:hAnsi="微软雅黑" w:eastAsia="微软雅黑"/>
          <w:b/>
          <w:i w:val="0"/>
          <w:color w:val="2E865A"/>
          <w:sz w:val="22"/>
        </w:rPr>
        <w:t>MARL 仿真环境</w:t>
      </w:r>
    </w:p>
    <w:p w14:paraId="7126D32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管理 MARL 环境的新建、参数编辑、状态切换与删除。</w:t>
      </w:r>
    </w:p>
    <w:p w14:paraId="54ACD2AA">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1"/>
                    <pic:cNvPicPr>
                      <a:picLocks noChangeAspect="1"/>
                    </pic:cNvPicPr>
                  </pic:nvPicPr>
                  <pic:blipFill>
                    <a:blip r:embed="rId12"/>
                    <a:stretch>
                      <a:fillRect/>
                    </a:stretch>
                  </pic:blipFill>
                  <pic:spPr>
                    <a:xfrm>
                      <a:off x="0" y="0"/>
                      <a:ext cx="5486400" cy="3291840"/>
                    </a:xfrm>
                    <a:prstGeom prst="rect">
                      <a:avLst/>
                    </a:prstGeom>
                  </pic:spPr>
                </pic:pic>
              </a:graphicData>
            </a:graphic>
          </wp:inline>
        </w:drawing>
      </w:r>
    </w:p>
    <w:p w14:paraId="5DDD1E7C">
      <w:pPr>
        <w:spacing w:before="0" w:after="0"/>
      </w:pPr>
    </w:p>
    <w:p w14:paraId="2512AB6C">
      <w:pPr>
        <w:spacing w:before="160" w:after="40"/>
      </w:pPr>
      <w:r>
        <w:rPr>
          <w:rFonts w:ascii="微软雅黑" w:hAnsi="微软雅黑" w:eastAsia="微软雅黑"/>
          <w:b/>
          <w:i w:val="0"/>
          <w:color w:val="2E865A"/>
          <w:sz w:val="21"/>
        </w:rPr>
        <w:t>【1】新建仿真环境</w:t>
      </w:r>
    </w:p>
    <w:p w14:paraId="79597200">
      <w:pPr>
        <w:spacing w:before="0" w:after="0"/>
      </w:pPr>
    </w:p>
    <w:p w14:paraId="71BEEE92">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点击左侧导航【MARL决策】→【环境与智能体配置】，进入配置页面</w:t>
      </w:r>
    </w:p>
    <w:p w14:paraId="0A9C9E87">
      <w:pPr>
        <w:spacing w:before="0" w:after="0"/>
      </w:pPr>
    </w:p>
    <w:p w14:paraId="623295C8">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在左侧环境卡片点击【新建环境】按钮，弹出参数对话框</w:t>
      </w:r>
    </w:p>
    <w:p w14:paraId="49379675">
      <w:pPr>
        <w:spacing w:before="0" w:after="0"/>
      </w:pPr>
    </w:p>
    <w:p w14:paraId="0BF7D299">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输入环境名称、编号、各类机组数量（水电/火电/风电/光伏）、最大输电容量、生态流量、水库容量等参数</w:t>
      </w:r>
    </w:p>
    <w:p w14:paraId="5A5D84C0">
      <w:pPr>
        <w:spacing w:before="0" w:after="0"/>
      </w:pPr>
    </w:p>
    <w:p w14:paraId="30F89BB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步骤4　</w:t>
      </w:r>
      <w:r>
        <w:rPr>
          <w:rFonts w:ascii="微软雅黑" w:hAnsi="微软雅黑" w:eastAsia="微软雅黑"/>
          <w:b w:val="0"/>
          <w:i w:val="0"/>
          <w:color w:val="1A1A1A"/>
          <w:sz w:val="20"/>
        </w:rPr>
        <w:t>点击【保存】完成创建，列表自动刷新</w:t>
      </w:r>
    </w:p>
    <w:p w14:paraId="35669E16">
      <w:pPr>
        <w:spacing w:before="0" w:after="0"/>
      </w:pPr>
    </w:p>
    <w:p w14:paraId="12BC71B4">
      <w:pPr>
        <w:spacing w:before="0" w:after="0"/>
      </w:pPr>
    </w:p>
    <w:p w14:paraId="446ACF77">
      <w:pPr>
        <w:spacing w:before="60" w:after="0"/>
        <w:ind w:left="397"/>
      </w:pPr>
      <w:r>
        <w:rPr>
          <w:rFonts w:ascii="微软雅黑" w:hAnsi="微软雅黑" w:eastAsia="微软雅黑"/>
          <w:b/>
          <w:i w:val="0"/>
          <w:color w:val="CC0000"/>
          <w:sz w:val="20"/>
        </w:rPr>
        <w:t>注意：</w:t>
      </w:r>
    </w:p>
    <w:p w14:paraId="09BA7376">
      <w:pPr>
        <w:spacing w:before="0" w:after="0"/>
      </w:pPr>
    </w:p>
    <w:p w14:paraId="002DA2E0">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最小生态流量建议根据河流类型设定，避免对生态造成影响</w:t>
      </w:r>
    </w:p>
    <w:p w14:paraId="70D9C678">
      <w:pPr>
        <w:spacing w:before="0" w:after="0"/>
      </w:pPr>
    </w:p>
    <w:p w14:paraId="7A8FD969">
      <w:pPr>
        <w:spacing w:before="0" w:after="0"/>
      </w:pPr>
    </w:p>
    <w:p w14:paraId="0952EB9F">
      <w:pPr>
        <w:spacing w:before="0" w:after="40"/>
      </w:pPr>
    </w:p>
    <w:p w14:paraId="221A3EAA">
      <w:pPr>
        <w:spacing w:before="0" w:after="0"/>
      </w:pPr>
    </w:p>
    <w:p w14:paraId="5CDE7AE9">
      <w:pPr>
        <w:spacing w:before="160" w:after="40"/>
      </w:pPr>
      <w:r>
        <w:rPr>
          <w:rFonts w:ascii="微软雅黑" w:hAnsi="微软雅黑" w:eastAsia="微软雅黑"/>
          <w:b/>
          <w:i w:val="0"/>
          <w:color w:val="2E865A"/>
          <w:sz w:val="21"/>
        </w:rPr>
        <w:t>【2】编辑/删除环境</w:t>
      </w:r>
    </w:p>
    <w:p w14:paraId="36632C3C">
      <w:pPr>
        <w:spacing w:before="0" w:after="0"/>
      </w:pPr>
    </w:p>
    <w:p w14:paraId="4A5EAFEA">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在环境列表点击【编辑】修改参数，或【删除】按钮移除环境（同时清除关联智能体与仿真任务）</w:t>
      </w:r>
    </w:p>
    <w:p w14:paraId="7B5F1D68">
      <w:pPr>
        <w:spacing w:before="0" w:after="0"/>
      </w:pPr>
    </w:p>
    <w:p w14:paraId="12543DE9">
      <w:pPr>
        <w:spacing w:before="0" w:after="0"/>
      </w:pPr>
    </w:p>
    <w:p w14:paraId="2A309BA4">
      <w:pPr>
        <w:spacing w:before="60" w:after="0"/>
        <w:ind w:left="397"/>
      </w:pPr>
      <w:r>
        <w:rPr>
          <w:rFonts w:ascii="微软雅黑" w:hAnsi="微软雅黑" w:eastAsia="微软雅黑"/>
          <w:b/>
          <w:i w:val="0"/>
          <w:color w:val="CC0000"/>
          <w:sz w:val="20"/>
        </w:rPr>
        <w:t>注意：</w:t>
      </w:r>
    </w:p>
    <w:p w14:paraId="680CA734">
      <w:pPr>
        <w:spacing w:before="0" w:after="0"/>
      </w:pPr>
    </w:p>
    <w:p w14:paraId="2369F8F5">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删除前请确认环境未被运行中的仿真任务引用</w:t>
      </w:r>
    </w:p>
    <w:p w14:paraId="789715E7">
      <w:pPr>
        <w:spacing w:before="0" w:after="0"/>
      </w:pPr>
    </w:p>
    <w:p w14:paraId="240C2897">
      <w:pPr>
        <w:spacing w:before="0" w:after="0"/>
      </w:pPr>
    </w:p>
    <w:p w14:paraId="35BBF104">
      <w:pPr>
        <w:spacing w:before="0" w:after="40"/>
      </w:pPr>
    </w:p>
    <w:p w14:paraId="1B4CBBA3">
      <w:pPr>
        <w:spacing w:before="0" w:after="0"/>
      </w:pPr>
    </w:p>
    <w:p w14:paraId="7FF4AE59">
      <w:pPr>
        <w:spacing w:before="0" w:after="0"/>
      </w:pPr>
    </w:p>
    <w:p w14:paraId="3CC183D3">
      <w:pPr>
        <w:spacing w:before="0" w:after="0"/>
      </w:pPr>
    </w:p>
    <w:p w14:paraId="4BBED17E">
      <w:pPr>
        <w:pStyle w:val="5"/>
        <w:spacing w:before="240" w:after="80"/>
      </w:pPr>
      <w:r>
        <w:rPr>
          <w:rFonts w:ascii="微软雅黑" w:hAnsi="微软雅黑" w:eastAsia="微软雅黑"/>
          <w:b/>
          <w:i w:val="0"/>
          <w:color w:val="2E865A"/>
          <w:sz w:val="24"/>
        </w:rPr>
        <w:t>4.2　智能体配置</w:t>
      </w:r>
    </w:p>
    <w:p w14:paraId="03149D41">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为 MARL 环境配置 5 类专业智能体，并设置各智能体的动作空间与多目标奖励权重。</w:t>
      </w:r>
    </w:p>
    <w:p w14:paraId="6BFC1875">
      <w:pPr>
        <w:spacing w:before="0" w:after="0"/>
      </w:pPr>
    </w:p>
    <w:p w14:paraId="5C3A8CDE">
      <w:pPr>
        <w:pStyle w:val="6"/>
        <w:spacing w:before="160" w:after="60"/>
      </w:pPr>
      <w:r>
        <w:rPr>
          <w:rFonts w:ascii="微软雅黑" w:hAnsi="微软雅黑" w:eastAsia="微软雅黑"/>
          <w:b/>
          <w:i w:val="0"/>
          <w:color w:val="2E865A"/>
          <w:sz w:val="22"/>
        </w:rPr>
        <w:t>MARL 智能体</w:t>
      </w:r>
    </w:p>
    <w:p w14:paraId="0DA264B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管理智能体的创建、奖励权重调整与删除。</w:t>
      </w:r>
    </w:p>
    <w:p w14:paraId="4D555815">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1"/>
                    <pic:cNvPicPr>
                      <a:picLocks noChangeAspect="1"/>
                    </pic:cNvPicPr>
                  </pic:nvPicPr>
                  <pic:blipFill>
                    <a:blip r:embed="rId12"/>
                    <a:stretch>
                      <a:fillRect/>
                    </a:stretch>
                  </pic:blipFill>
                  <pic:spPr>
                    <a:xfrm>
                      <a:off x="0" y="0"/>
                      <a:ext cx="5486400" cy="3291840"/>
                    </a:xfrm>
                    <a:prstGeom prst="rect">
                      <a:avLst/>
                    </a:prstGeom>
                  </pic:spPr>
                </pic:pic>
              </a:graphicData>
            </a:graphic>
          </wp:inline>
        </w:drawing>
      </w:r>
    </w:p>
    <w:p w14:paraId="344D9ADE">
      <w:pPr>
        <w:spacing w:before="0" w:after="0"/>
      </w:pPr>
    </w:p>
    <w:p w14:paraId="17ED45A4">
      <w:pPr>
        <w:spacing w:before="160" w:after="40"/>
      </w:pPr>
      <w:r>
        <w:rPr>
          <w:rFonts w:ascii="微软雅黑" w:hAnsi="微软雅黑" w:eastAsia="微软雅黑"/>
          <w:b/>
          <w:i w:val="0"/>
          <w:color w:val="2E865A"/>
          <w:sz w:val="21"/>
        </w:rPr>
        <w:t>【1】新建智能体</w:t>
      </w:r>
    </w:p>
    <w:p w14:paraId="10B26D58">
      <w:pPr>
        <w:spacing w:before="0" w:after="0"/>
      </w:pPr>
    </w:p>
    <w:p w14:paraId="0CCDE738">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在右侧智能体卡片点击【新建智能体】按钮</w:t>
      </w:r>
    </w:p>
    <w:p w14:paraId="440FA795">
      <w:pPr>
        <w:spacing w:before="0" w:after="0"/>
      </w:pPr>
    </w:p>
    <w:p w14:paraId="004C7236">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输入智能体名称、选择关联环境、选择类型（水电/火电/风电/光伏/储能/负荷）</w:t>
      </w:r>
    </w:p>
    <w:p w14:paraId="06D40843">
      <w:pPr>
        <w:spacing w:before="0" w:after="0"/>
      </w:pPr>
    </w:p>
    <w:p w14:paraId="6ACCFA3E">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调整 5 项奖励权重：W1经济(0-1)、W2安全(0-1)、W3可再生(0-1)、W4平衡(0-1)、W5预测(0-1)</w:t>
      </w:r>
    </w:p>
    <w:p w14:paraId="5A522742">
      <w:pPr>
        <w:spacing w:before="0" w:after="0"/>
      </w:pPr>
    </w:p>
    <w:p w14:paraId="36665C52">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步骤4　</w:t>
      </w:r>
      <w:r>
        <w:rPr>
          <w:rFonts w:ascii="微软雅黑" w:hAnsi="微软雅黑" w:eastAsia="微软雅黑"/>
          <w:b w:val="0"/>
          <w:i w:val="0"/>
          <w:color w:val="1A1A1A"/>
          <w:sz w:val="20"/>
        </w:rPr>
        <w:t>点击【保存】完成创建</w:t>
      </w:r>
    </w:p>
    <w:p w14:paraId="53E879E5">
      <w:pPr>
        <w:spacing w:before="0" w:after="0"/>
      </w:pPr>
    </w:p>
    <w:p w14:paraId="580EC25A">
      <w:pPr>
        <w:spacing w:before="0" w:after="0"/>
      </w:pPr>
    </w:p>
    <w:p w14:paraId="54B13DD2">
      <w:pPr>
        <w:spacing w:before="60" w:after="0"/>
        <w:ind w:left="397"/>
      </w:pPr>
      <w:r>
        <w:rPr>
          <w:rFonts w:ascii="微软雅黑" w:hAnsi="微软雅黑" w:eastAsia="微软雅黑"/>
          <w:b/>
          <w:i w:val="0"/>
          <w:color w:val="CC0000"/>
          <w:sz w:val="20"/>
        </w:rPr>
        <w:t>注意：</w:t>
      </w:r>
    </w:p>
    <w:p w14:paraId="5A81B6B9">
      <w:pPr>
        <w:spacing w:before="0" w:after="0"/>
      </w:pPr>
    </w:p>
    <w:p w14:paraId="0D45815E">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建议 5 项权重之和接近 1.0，根据调度目标灵活调整侧重</w:t>
      </w:r>
    </w:p>
    <w:p w14:paraId="15D32281">
      <w:pPr>
        <w:spacing w:before="0" w:after="0"/>
      </w:pPr>
    </w:p>
    <w:p w14:paraId="3E840A03">
      <w:pPr>
        <w:spacing w:before="0" w:after="0"/>
      </w:pPr>
    </w:p>
    <w:p w14:paraId="20FF08F3">
      <w:pPr>
        <w:spacing w:before="0" w:after="40"/>
      </w:pPr>
    </w:p>
    <w:p w14:paraId="072C36DE">
      <w:pPr>
        <w:spacing w:before="0" w:after="0"/>
      </w:pPr>
    </w:p>
    <w:p w14:paraId="110E6703">
      <w:pPr>
        <w:spacing w:before="160" w:after="40"/>
      </w:pPr>
      <w:r>
        <w:rPr>
          <w:rFonts w:ascii="微软雅黑" w:hAnsi="微软雅黑" w:eastAsia="微软雅黑"/>
          <w:b/>
          <w:i w:val="0"/>
          <w:color w:val="2E865A"/>
          <w:sz w:val="21"/>
        </w:rPr>
        <w:t>【2】编辑/删除智能体</w:t>
      </w:r>
    </w:p>
    <w:p w14:paraId="283561AC">
      <w:pPr>
        <w:spacing w:before="0" w:after="0"/>
      </w:pPr>
    </w:p>
    <w:p w14:paraId="3EC12389">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在智能体列表点击【编辑】调整奖励权重，或【删除】按钮移除</w:t>
      </w:r>
    </w:p>
    <w:p w14:paraId="19A7D91C">
      <w:pPr>
        <w:spacing w:before="0" w:after="0"/>
      </w:pPr>
    </w:p>
    <w:p w14:paraId="2C76C9BE">
      <w:pPr>
        <w:spacing w:before="0" w:after="0"/>
      </w:pPr>
    </w:p>
    <w:p w14:paraId="778F2799">
      <w:pPr>
        <w:spacing w:before="0" w:after="40"/>
      </w:pPr>
    </w:p>
    <w:p w14:paraId="33174523">
      <w:pPr>
        <w:spacing w:before="0" w:after="0"/>
      </w:pPr>
    </w:p>
    <w:p w14:paraId="593D37B2">
      <w:pPr>
        <w:spacing w:before="0" w:after="0"/>
      </w:pPr>
    </w:p>
    <w:p w14:paraId="50241767">
      <w:pPr>
        <w:spacing w:before="0" w:after="0"/>
      </w:pPr>
    </w:p>
    <w:p w14:paraId="28828578">
      <w:pPr>
        <w:spacing w:before="0" w:after="0"/>
      </w:pPr>
    </w:p>
    <w:p w14:paraId="589874AB">
      <w:pPr>
        <w:pStyle w:val="4"/>
        <w:spacing w:before="320" w:after="100"/>
      </w:pPr>
      <w:r>
        <w:rPr>
          <w:rFonts w:ascii="微软雅黑" w:hAnsi="微软雅黑" w:eastAsia="微软雅黑"/>
          <w:b/>
          <w:i w:val="0"/>
          <w:color w:val="16543B"/>
          <w:sz w:val="28"/>
        </w:rPr>
        <w:t>第5章　MARL 协同仿真执行</w:t>
      </w:r>
    </w:p>
    <w:p w14:paraId="34E43DEE">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基于已配置的 MARL 环境与智能体执行多智能体协同仿真，输出经济/安全/可再生/平衡四项分项奖励与总奖励，并通过折线图与柱状图可视化奖励演化趋势。</w:t>
      </w:r>
    </w:p>
    <w:p w14:paraId="75FF69FF">
      <w:pPr>
        <w:spacing w:before="80" w:after="280"/>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1"/>
                    <pic:cNvPicPr>
                      <a:picLocks noChangeAspect="1"/>
                    </pic:cNvPicPr>
                  </pic:nvPicPr>
                  <pic:blipFill>
                    <a:blip r:embed="rId13"/>
                    <a:stretch>
                      <a:fillRect/>
                    </a:stretch>
                  </pic:blipFill>
                  <pic:spPr>
                    <a:xfrm>
                      <a:off x="0" y="0"/>
                      <a:ext cx="5486400" cy="3291840"/>
                    </a:xfrm>
                    <a:prstGeom prst="rect">
                      <a:avLst/>
                    </a:prstGeom>
                  </pic:spPr>
                </pic:pic>
              </a:graphicData>
            </a:graphic>
          </wp:inline>
        </w:drawing>
      </w:r>
    </w:p>
    <w:p w14:paraId="2C458D26"/>
    <w:p w14:paraId="22FB51FD">
      <w:pPr>
        <w:pStyle w:val="5"/>
        <w:spacing w:before="240" w:after="80"/>
      </w:pPr>
      <w:r>
        <w:rPr>
          <w:rFonts w:ascii="微软雅黑" w:hAnsi="微软雅黑" w:eastAsia="微软雅黑"/>
          <w:b/>
          <w:i w:val="0"/>
          <w:color w:val="2E865A"/>
          <w:sz w:val="24"/>
        </w:rPr>
        <w:t>5.1　MARL 仿真任务</w:t>
      </w:r>
    </w:p>
    <w:p w14:paraId="30586E2B">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创建 MARL 仿真任务并执行协同决策，监控奖励演化。</w:t>
      </w:r>
    </w:p>
    <w:p w14:paraId="56563BA2">
      <w:pPr>
        <w:spacing w:before="0" w:after="0"/>
      </w:pPr>
    </w:p>
    <w:p w14:paraId="2138286A">
      <w:pPr>
        <w:pStyle w:val="6"/>
        <w:spacing w:before="160" w:after="60"/>
      </w:pPr>
      <w:r>
        <w:rPr>
          <w:rFonts w:ascii="微软雅黑" w:hAnsi="微软雅黑" w:eastAsia="微软雅黑"/>
          <w:b/>
          <w:i w:val="0"/>
          <w:color w:val="2E865A"/>
          <w:sz w:val="22"/>
        </w:rPr>
        <w:t>MARL 仿真</w:t>
      </w:r>
    </w:p>
    <w:p w14:paraId="7C213D15">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管理仿真任务的创建、启动、停止、删除与奖励可视化。</w:t>
      </w:r>
    </w:p>
    <w:p w14:paraId="742400A2">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1"/>
                    <pic:cNvPicPr>
                      <a:picLocks noChangeAspect="1"/>
                    </pic:cNvPicPr>
                  </pic:nvPicPr>
                  <pic:blipFill>
                    <a:blip r:embed="rId13"/>
                    <a:stretch>
                      <a:fillRect/>
                    </a:stretch>
                  </pic:blipFill>
                  <pic:spPr>
                    <a:xfrm>
                      <a:off x="0" y="0"/>
                      <a:ext cx="5486400" cy="3291840"/>
                    </a:xfrm>
                    <a:prstGeom prst="rect">
                      <a:avLst/>
                    </a:prstGeom>
                  </pic:spPr>
                </pic:pic>
              </a:graphicData>
            </a:graphic>
          </wp:inline>
        </w:drawing>
      </w:r>
    </w:p>
    <w:p w14:paraId="2C3832EA">
      <w:pPr>
        <w:spacing w:before="0" w:after="0"/>
      </w:pPr>
    </w:p>
    <w:p w14:paraId="7A7418D1">
      <w:pPr>
        <w:spacing w:before="160" w:after="40"/>
      </w:pPr>
      <w:r>
        <w:rPr>
          <w:rFonts w:ascii="微软雅黑" w:hAnsi="微软雅黑" w:eastAsia="微软雅黑"/>
          <w:b/>
          <w:i w:val="0"/>
          <w:color w:val="2E865A"/>
          <w:sz w:val="21"/>
        </w:rPr>
        <w:t>【1】新建仿真任务</w:t>
      </w:r>
    </w:p>
    <w:p w14:paraId="7CB3765A">
      <w:pPr>
        <w:spacing w:before="0" w:after="0"/>
      </w:pPr>
    </w:p>
    <w:p w14:paraId="380DC67F">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点击左侧导航【MARL决策】→【协同仿真执行】</w:t>
      </w:r>
    </w:p>
    <w:p w14:paraId="25084B97">
      <w:pPr>
        <w:spacing w:before="0" w:after="0"/>
      </w:pPr>
    </w:p>
    <w:p w14:paraId="74F4F2A8">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点击【新建仿真任务】按钮，输入任务名称、选择关联环境、时间尺度、总步数</w:t>
      </w:r>
    </w:p>
    <w:p w14:paraId="2EEFB379">
      <w:pPr>
        <w:spacing w:before="0" w:after="0"/>
      </w:pPr>
    </w:p>
    <w:p w14:paraId="332E2E9F">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点击【保存】，任务以 pending 状态创建</w:t>
      </w:r>
    </w:p>
    <w:p w14:paraId="17FCD730">
      <w:pPr>
        <w:spacing w:before="0" w:after="0"/>
      </w:pPr>
    </w:p>
    <w:p w14:paraId="4061B537">
      <w:pPr>
        <w:spacing w:before="0" w:after="0"/>
      </w:pPr>
    </w:p>
    <w:p w14:paraId="0B1A7477">
      <w:pPr>
        <w:spacing w:before="60" w:after="0"/>
        <w:ind w:left="397"/>
      </w:pPr>
      <w:r>
        <w:rPr>
          <w:rFonts w:ascii="微软雅黑" w:hAnsi="微软雅黑" w:eastAsia="微软雅黑"/>
          <w:b/>
          <w:i w:val="0"/>
          <w:color w:val="CC0000"/>
          <w:sz w:val="20"/>
        </w:rPr>
        <w:t>注意：</w:t>
      </w:r>
    </w:p>
    <w:p w14:paraId="2B906101">
      <w:pPr>
        <w:spacing w:before="0" w:after="0"/>
      </w:pPr>
    </w:p>
    <w:p w14:paraId="1BD0EEB0">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总步数建议 500/1000/2000，时间尺度越长建议步数越多</w:t>
      </w:r>
    </w:p>
    <w:p w14:paraId="2A2A2C0A">
      <w:pPr>
        <w:spacing w:before="0" w:after="0"/>
      </w:pPr>
    </w:p>
    <w:p w14:paraId="65755981">
      <w:pPr>
        <w:spacing w:before="0" w:after="0"/>
      </w:pPr>
    </w:p>
    <w:p w14:paraId="25EF524D">
      <w:pPr>
        <w:spacing w:before="0" w:after="40"/>
      </w:pPr>
    </w:p>
    <w:p w14:paraId="1CC8A33A">
      <w:pPr>
        <w:spacing w:before="0" w:after="0"/>
      </w:pPr>
    </w:p>
    <w:p w14:paraId="4639C46A">
      <w:pPr>
        <w:spacing w:before="160" w:after="40"/>
      </w:pPr>
      <w:r>
        <w:rPr>
          <w:rFonts w:ascii="微软雅黑" w:hAnsi="微软雅黑" w:eastAsia="微软雅黑"/>
          <w:b/>
          <w:i w:val="0"/>
          <w:color w:val="2E865A"/>
          <w:sz w:val="21"/>
        </w:rPr>
        <w:t>【2】启动/停止仿真</w:t>
      </w:r>
    </w:p>
    <w:p w14:paraId="605FAF9F">
      <w:pPr>
        <w:spacing w:before="0" w:after="0"/>
      </w:pPr>
    </w:p>
    <w:p w14:paraId="7288BF7B">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在任务列表中点击 pending 状态任务的【启动】按钮，系统执行 MARL 协同仿真</w:t>
      </w:r>
    </w:p>
    <w:p w14:paraId="0F0C54A8">
      <w:pPr>
        <w:spacing w:before="0" w:after="0"/>
      </w:pPr>
    </w:p>
    <w:p w14:paraId="07CDFA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任务完成后状态变为 completed，列表显示总奖励与四项分项奖励（经济/安全/可再生/平衡）</w:t>
      </w:r>
    </w:p>
    <w:p w14:paraId="1C3ED893">
      <w:pPr>
        <w:spacing w:before="0" w:after="0"/>
      </w:pPr>
    </w:p>
    <w:p w14:paraId="2D921AB8">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对运行中任务点击【停止】可中止仿真，状态变为 failed</w:t>
      </w:r>
    </w:p>
    <w:p w14:paraId="4155561D">
      <w:pPr>
        <w:spacing w:before="0" w:after="0"/>
      </w:pPr>
    </w:p>
    <w:p w14:paraId="7E97C2B4">
      <w:pPr>
        <w:spacing w:before="0" w:after="0"/>
      </w:pPr>
    </w:p>
    <w:p w14:paraId="5992452E">
      <w:pPr>
        <w:spacing w:before="60" w:after="0"/>
        <w:ind w:left="397"/>
      </w:pPr>
      <w:r>
        <w:rPr>
          <w:rFonts w:ascii="微软雅黑" w:hAnsi="微软雅黑" w:eastAsia="微软雅黑"/>
          <w:b/>
          <w:i w:val="0"/>
          <w:color w:val="CC0000"/>
          <w:sz w:val="20"/>
        </w:rPr>
        <w:t>注意：</w:t>
      </w:r>
    </w:p>
    <w:p w14:paraId="2B30A56E">
      <w:pPr>
        <w:spacing w:before="0" w:after="0"/>
      </w:pPr>
    </w:p>
    <w:p w14:paraId="23BCDD30">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仅 pending 状态可启动；仅 running 状态可停止</w:t>
      </w:r>
    </w:p>
    <w:p w14:paraId="24AADFB8">
      <w:pPr>
        <w:spacing w:before="0" w:after="0"/>
      </w:pPr>
    </w:p>
    <w:p w14:paraId="2902E637">
      <w:pPr>
        <w:spacing w:before="0" w:after="0"/>
      </w:pPr>
    </w:p>
    <w:p w14:paraId="3BB5B809">
      <w:pPr>
        <w:spacing w:before="0" w:after="40"/>
      </w:pPr>
    </w:p>
    <w:p w14:paraId="78F24348">
      <w:pPr>
        <w:spacing w:before="0" w:after="0"/>
      </w:pPr>
    </w:p>
    <w:p w14:paraId="6CC25369">
      <w:pPr>
        <w:spacing w:before="160" w:after="40"/>
      </w:pPr>
      <w:r>
        <w:rPr>
          <w:rFonts w:ascii="微软雅黑" w:hAnsi="微软雅黑" w:eastAsia="微软雅黑"/>
          <w:b/>
          <w:i w:val="0"/>
          <w:color w:val="2E865A"/>
          <w:sz w:val="21"/>
        </w:rPr>
        <w:t>【3】查看奖励趋势</w:t>
      </w:r>
    </w:p>
    <w:p w14:paraId="49C85630">
      <w:pPr>
        <w:spacing w:before="0" w:after="0"/>
      </w:pPr>
    </w:p>
    <w:p w14:paraId="30414378">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页面下方【仿真奖励趋势】卡片以折线图展示总奖励，柱状图展示经济与可再生奖励</w:t>
      </w:r>
    </w:p>
    <w:p w14:paraId="76868D65">
      <w:pPr>
        <w:spacing w:before="0" w:after="0"/>
      </w:pPr>
    </w:p>
    <w:p w14:paraId="06118418">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可对比不同任务的奖励差异，辅助调度策略选择</w:t>
      </w:r>
    </w:p>
    <w:p w14:paraId="00C21C62">
      <w:pPr>
        <w:spacing w:before="0" w:after="0"/>
      </w:pPr>
    </w:p>
    <w:p w14:paraId="7CDA701A">
      <w:pPr>
        <w:spacing w:before="0" w:after="0"/>
      </w:pPr>
    </w:p>
    <w:p w14:paraId="65BBB260">
      <w:pPr>
        <w:spacing w:before="0" w:after="40"/>
      </w:pPr>
    </w:p>
    <w:p w14:paraId="0D40F8B3">
      <w:pPr>
        <w:spacing w:before="0" w:after="0"/>
      </w:pPr>
    </w:p>
    <w:p w14:paraId="366815B3">
      <w:pPr>
        <w:spacing w:before="0" w:after="0"/>
      </w:pPr>
    </w:p>
    <w:p w14:paraId="2FE4A172">
      <w:pPr>
        <w:spacing w:before="0" w:after="0"/>
      </w:pPr>
    </w:p>
    <w:p w14:paraId="243D8D82">
      <w:pPr>
        <w:spacing w:before="0" w:after="0"/>
      </w:pPr>
    </w:p>
    <w:p w14:paraId="09C6C1FF">
      <w:pPr>
        <w:pStyle w:val="4"/>
        <w:spacing w:before="320" w:after="100"/>
      </w:pPr>
      <w:r>
        <w:rPr>
          <w:rFonts w:ascii="微软雅黑" w:hAnsi="微软雅黑" w:eastAsia="微软雅黑"/>
          <w:b/>
          <w:i w:val="0"/>
          <w:color w:val="16543B"/>
          <w:sz w:val="28"/>
        </w:rPr>
        <w:t>第6章　场景集合生成</w:t>
      </w:r>
    </w:p>
    <w:p w14:paraId="6EEBA004">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基于 MARL 仿真结果通过蒙特卡洛模拟生成多阶段水电源荷场景集合，每个集合包含若干个具体场景（正常/极端高/极端低），并自动评估 PICP、CRPS、多样性、物理可行性四项质量指标，给出 A/B/C/D 质量评级。</w:t>
      </w:r>
    </w:p>
    <w:p w14:paraId="68B78142">
      <w:pPr>
        <w:spacing w:before="80" w:after="280"/>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
                    <pic:cNvPicPr>
                      <a:picLocks noChangeAspect="1"/>
                    </pic:cNvPicPr>
                  </pic:nvPicPr>
                  <pic:blipFill>
                    <a:blip r:embed="rId14"/>
                    <a:stretch>
                      <a:fillRect/>
                    </a:stretch>
                  </pic:blipFill>
                  <pic:spPr>
                    <a:xfrm>
                      <a:off x="0" y="0"/>
                      <a:ext cx="5486400" cy="3291840"/>
                    </a:xfrm>
                    <a:prstGeom prst="rect">
                      <a:avLst/>
                    </a:prstGeom>
                  </pic:spPr>
                </pic:pic>
              </a:graphicData>
            </a:graphic>
          </wp:inline>
        </w:drawing>
      </w:r>
    </w:p>
    <w:p w14:paraId="215E840D"/>
    <w:p w14:paraId="2A2EE057">
      <w:pPr>
        <w:pStyle w:val="5"/>
        <w:spacing w:before="240" w:after="80"/>
      </w:pPr>
      <w:r>
        <w:rPr>
          <w:rFonts w:ascii="微软雅黑" w:hAnsi="微软雅黑" w:eastAsia="微软雅黑"/>
          <w:b/>
          <w:i w:val="0"/>
          <w:color w:val="2E865A"/>
          <w:sz w:val="24"/>
        </w:rPr>
        <w:t>6.1　场景集合生成</w:t>
      </w:r>
    </w:p>
    <w:p w14:paraId="35DDE8D9">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生成场景集合并查看每个场景的水电、风电、光伏出力与负荷分布。</w:t>
      </w:r>
    </w:p>
    <w:p w14:paraId="7D38F303">
      <w:pPr>
        <w:spacing w:before="0" w:after="0"/>
      </w:pPr>
    </w:p>
    <w:p w14:paraId="00EF8844">
      <w:pPr>
        <w:pStyle w:val="6"/>
        <w:spacing w:before="160" w:after="60"/>
      </w:pPr>
      <w:r>
        <w:rPr>
          <w:rFonts w:ascii="微软雅黑" w:hAnsi="微软雅黑" w:eastAsia="微软雅黑"/>
          <w:b/>
          <w:i w:val="0"/>
          <w:color w:val="2E865A"/>
          <w:sz w:val="22"/>
        </w:rPr>
        <w:t>场景生成</w:t>
      </w:r>
    </w:p>
    <w:p w14:paraId="03570A5F">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管理场景集合的创建、查看、删除与 CSV 导出。</w:t>
      </w:r>
    </w:p>
    <w:p w14:paraId="65FF41EE">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1"/>
                    <pic:cNvPicPr>
                      <a:picLocks noChangeAspect="1"/>
                    </pic:cNvPicPr>
                  </pic:nvPicPr>
                  <pic:blipFill>
                    <a:blip r:embed="rId14"/>
                    <a:stretch>
                      <a:fillRect/>
                    </a:stretch>
                  </pic:blipFill>
                  <pic:spPr>
                    <a:xfrm>
                      <a:off x="0" y="0"/>
                      <a:ext cx="5486400" cy="3291840"/>
                    </a:xfrm>
                    <a:prstGeom prst="rect">
                      <a:avLst/>
                    </a:prstGeom>
                  </pic:spPr>
                </pic:pic>
              </a:graphicData>
            </a:graphic>
          </wp:inline>
        </w:drawing>
      </w:r>
    </w:p>
    <w:p w14:paraId="05D92EFC">
      <w:pPr>
        <w:spacing w:before="0" w:after="0"/>
      </w:pPr>
    </w:p>
    <w:p w14:paraId="59D5A76B">
      <w:pPr>
        <w:spacing w:before="160" w:after="40"/>
      </w:pPr>
      <w:r>
        <w:rPr>
          <w:rFonts w:ascii="微软雅黑" w:hAnsi="微软雅黑" w:eastAsia="微软雅黑"/>
          <w:b/>
          <w:i w:val="0"/>
          <w:color w:val="2E865A"/>
          <w:sz w:val="21"/>
        </w:rPr>
        <w:t>【1】生成新场景集</w:t>
      </w:r>
    </w:p>
    <w:p w14:paraId="28599611">
      <w:pPr>
        <w:spacing w:before="0" w:after="0"/>
      </w:pPr>
    </w:p>
    <w:p w14:paraId="7478FEE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点击左侧导航【场景管理】→【场景集合生成】</w:t>
      </w:r>
    </w:p>
    <w:p w14:paraId="6470AFDF">
      <w:pPr>
        <w:spacing w:before="0" w:after="0"/>
      </w:pPr>
    </w:p>
    <w:p w14:paraId="7466A09D">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点击【生成新场景集】按钮，输入集合名称、编号、选择时间尺度、场景数量(10-500)</w:t>
      </w:r>
    </w:p>
    <w:p w14:paraId="3E522F70">
      <w:pPr>
        <w:spacing w:before="0" w:after="0"/>
      </w:pPr>
    </w:p>
    <w:p w14:paraId="429436AB">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（可选）选择关联的已完成 MARL 仿真任务，点击【生成】</w:t>
      </w:r>
    </w:p>
    <w:p w14:paraId="14F32DB1">
      <w:pPr>
        <w:spacing w:before="0" w:after="0"/>
      </w:pPr>
    </w:p>
    <w:p w14:paraId="6E73BEEF">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步骤4　</w:t>
      </w:r>
      <w:r>
        <w:rPr>
          <w:rFonts w:ascii="微软雅黑" w:hAnsi="微软雅黑" w:eastAsia="微软雅黑"/>
          <w:b w:val="0"/>
          <w:i w:val="0"/>
          <w:color w:val="1A1A1A"/>
          <w:sz w:val="20"/>
        </w:rPr>
        <w:t>系统自动通过蒙特卡洛模拟生成场景并计算 PICP、多样性、物理可行率与质量评级 A/B/C/D</w:t>
      </w:r>
    </w:p>
    <w:p w14:paraId="7E674339">
      <w:pPr>
        <w:spacing w:before="0" w:after="0"/>
      </w:pPr>
    </w:p>
    <w:p w14:paraId="09B9D95F">
      <w:pPr>
        <w:spacing w:before="0" w:after="0"/>
      </w:pPr>
    </w:p>
    <w:p w14:paraId="2EAA490A">
      <w:pPr>
        <w:spacing w:before="60" w:after="0"/>
        <w:ind w:left="397"/>
      </w:pPr>
      <w:r>
        <w:rPr>
          <w:rFonts w:ascii="微软雅黑" w:hAnsi="微软雅黑" w:eastAsia="微软雅黑"/>
          <w:b/>
          <w:i w:val="0"/>
          <w:color w:val="CC0000"/>
          <w:sz w:val="20"/>
        </w:rPr>
        <w:t>注意：</w:t>
      </w:r>
    </w:p>
    <w:p w14:paraId="6033B22B">
      <w:pPr>
        <w:spacing w:before="0" w:after="0"/>
      </w:pPr>
    </w:p>
    <w:p w14:paraId="23F3E2F2">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生成的场景默认每集合 100 条，实际限制为 20 条用于演示</w:t>
      </w:r>
    </w:p>
    <w:p w14:paraId="4BD41136">
      <w:pPr>
        <w:spacing w:before="0" w:after="0"/>
      </w:pPr>
    </w:p>
    <w:p w14:paraId="329B3C57">
      <w:pPr>
        <w:spacing w:before="0" w:after="0"/>
      </w:pPr>
    </w:p>
    <w:p w14:paraId="1FA5D12D">
      <w:pPr>
        <w:spacing w:before="0" w:after="40"/>
      </w:pPr>
    </w:p>
    <w:p w14:paraId="04B354ED">
      <w:pPr>
        <w:spacing w:before="0" w:after="0"/>
      </w:pPr>
    </w:p>
    <w:p w14:paraId="587FC0CD">
      <w:pPr>
        <w:spacing w:before="160" w:after="40"/>
      </w:pPr>
      <w:r>
        <w:rPr>
          <w:rFonts w:ascii="微软雅黑" w:hAnsi="微软雅黑" w:eastAsia="微软雅黑"/>
          <w:b/>
          <w:i w:val="0"/>
          <w:color w:val="2E865A"/>
          <w:sz w:val="21"/>
        </w:rPr>
        <w:t>【2】查看场景明细</w:t>
      </w:r>
    </w:p>
    <w:p w14:paraId="2AF57CC5">
      <w:pPr>
        <w:spacing w:before="0" w:after="0"/>
      </w:pPr>
    </w:p>
    <w:p w14:paraId="4D69B052">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在场景集合列表中点击任意行，右侧场景明细面板显示该集合下所有场景</w:t>
      </w:r>
    </w:p>
    <w:p w14:paraId="657A3C8B">
      <w:pPr>
        <w:spacing w:before="0" w:after="0"/>
      </w:pPr>
    </w:p>
    <w:p w14:paraId="6103FFB5">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明细字段包括：场景编号、类型(正常/极端高/极端低)、水电(MW)、负荷(MW)、物理可行性</w:t>
      </w:r>
    </w:p>
    <w:p w14:paraId="3FCFF763">
      <w:pPr>
        <w:spacing w:before="0" w:after="0"/>
      </w:pPr>
    </w:p>
    <w:p w14:paraId="7EADB6AD">
      <w:pPr>
        <w:spacing w:before="0" w:after="0"/>
      </w:pPr>
    </w:p>
    <w:p w14:paraId="1319A650">
      <w:pPr>
        <w:spacing w:before="0" w:after="40"/>
      </w:pPr>
    </w:p>
    <w:p w14:paraId="75CE0097">
      <w:pPr>
        <w:spacing w:before="0" w:after="0"/>
      </w:pPr>
    </w:p>
    <w:p w14:paraId="73F562F4">
      <w:pPr>
        <w:spacing w:before="160" w:after="40"/>
      </w:pPr>
      <w:r>
        <w:rPr>
          <w:rFonts w:ascii="微软雅黑" w:hAnsi="微软雅黑" w:eastAsia="微软雅黑"/>
          <w:b/>
          <w:i w:val="0"/>
          <w:color w:val="2E865A"/>
          <w:sz w:val="21"/>
        </w:rPr>
        <w:t>【3】导出 CSV / 删除集合</w:t>
      </w:r>
    </w:p>
    <w:p w14:paraId="0DD50EA4">
      <w:pPr>
        <w:spacing w:before="0" w:after="0"/>
      </w:pPr>
    </w:p>
    <w:p w14:paraId="7A1458F5">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选中场景集合后点击右侧【导出CSV】按钮，浏览器自动下载 scenario_set_N.csv 文件</w:t>
      </w:r>
    </w:p>
    <w:p w14:paraId="719A3618">
      <w:pPr>
        <w:spacing w:before="0" w:after="0"/>
      </w:pPr>
    </w:p>
    <w:p w14:paraId="41A94CF8">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点击集合行【删除】按钮，系统同时删除关联场景与评估</w:t>
      </w:r>
    </w:p>
    <w:p w14:paraId="1A1DD529">
      <w:pPr>
        <w:spacing w:before="0" w:after="0"/>
      </w:pPr>
    </w:p>
    <w:p w14:paraId="08324ECC">
      <w:pPr>
        <w:spacing w:before="0" w:after="0"/>
      </w:pPr>
    </w:p>
    <w:p w14:paraId="086A98F0">
      <w:pPr>
        <w:spacing w:before="60" w:after="0"/>
        <w:ind w:left="397"/>
      </w:pPr>
      <w:r>
        <w:rPr>
          <w:rFonts w:ascii="微软雅黑" w:hAnsi="微软雅黑" w:eastAsia="微软雅黑"/>
          <w:b/>
          <w:i w:val="0"/>
          <w:color w:val="CC0000"/>
          <w:sz w:val="20"/>
        </w:rPr>
        <w:t>注意：</w:t>
      </w:r>
    </w:p>
    <w:p w14:paraId="21A273CB">
      <w:pPr>
        <w:spacing w:before="0" w:after="0"/>
      </w:pPr>
    </w:p>
    <w:p w14:paraId="25E86F30">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删除集合操作不可撤销</w:t>
      </w:r>
    </w:p>
    <w:p w14:paraId="659866F5">
      <w:pPr>
        <w:spacing w:before="0" w:after="0"/>
      </w:pPr>
    </w:p>
    <w:p w14:paraId="4454EB24">
      <w:pPr>
        <w:spacing w:before="0" w:after="0"/>
      </w:pPr>
    </w:p>
    <w:p w14:paraId="5C68E284">
      <w:pPr>
        <w:spacing w:before="0" w:after="40"/>
      </w:pPr>
    </w:p>
    <w:p w14:paraId="0F223592">
      <w:pPr>
        <w:spacing w:before="0" w:after="0"/>
      </w:pPr>
    </w:p>
    <w:p w14:paraId="1A41ABE9">
      <w:pPr>
        <w:spacing w:before="160" w:after="40"/>
      </w:pPr>
      <w:r>
        <w:rPr>
          <w:rFonts w:ascii="微软雅黑" w:hAnsi="微软雅黑" w:eastAsia="微软雅黑"/>
          <w:b/>
          <w:i w:val="0"/>
          <w:color w:val="2E865A"/>
          <w:sz w:val="21"/>
        </w:rPr>
        <w:t>【4】查看质量对比图</w:t>
      </w:r>
    </w:p>
    <w:p w14:paraId="4EF931DB">
      <w:pPr>
        <w:spacing w:before="0" w:after="0"/>
      </w:pPr>
    </w:p>
    <w:p w14:paraId="25E9B3E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页面下方【场景集合质量对比】卡片以柱状图与折线图展示各集合的 PICP、多样性、物理可行率</w:t>
      </w:r>
    </w:p>
    <w:p w14:paraId="2AFF8EBD">
      <w:pPr>
        <w:spacing w:before="0" w:after="0"/>
      </w:pPr>
    </w:p>
    <w:p w14:paraId="02E8F5AE">
      <w:pPr>
        <w:spacing w:before="0" w:after="0"/>
      </w:pPr>
    </w:p>
    <w:p w14:paraId="0980FCCC">
      <w:pPr>
        <w:spacing w:before="0" w:after="40"/>
      </w:pPr>
    </w:p>
    <w:p w14:paraId="7B7A2C5D">
      <w:pPr>
        <w:spacing w:before="0" w:after="0"/>
      </w:pPr>
    </w:p>
    <w:p w14:paraId="28B737D8">
      <w:pPr>
        <w:spacing w:before="0" w:after="0"/>
      </w:pPr>
    </w:p>
    <w:p w14:paraId="26EF9D95">
      <w:pPr>
        <w:spacing w:before="0" w:after="0"/>
      </w:pPr>
    </w:p>
    <w:p w14:paraId="13FDE071">
      <w:pPr>
        <w:spacing w:before="0" w:after="0"/>
      </w:pPr>
    </w:p>
    <w:p w14:paraId="6AFBB2F3">
      <w:pPr>
        <w:pStyle w:val="4"/>
        <w:spacing w:before="320" w:after="100"/>
      </w:pPr>
      <w:r>
        <w:rPr>
          <w:rFonts w:ascii="微软雅黑" w:hAnsi="微软雅黑" w:eastAsia="微软雅黑"/>
          <w:b/>
          <w:i w:val="0"/>
          <w:color w:val="16543B"/>
          <w:sz w:val="28"/>
        </w:rPr>
        <w:t>第7章　场景评估管理</w:t>
      </w:r>
    </w:p>
    <w:p w14:paraId="1E1D8F0E">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对场景集合进行 CVaR 风险评估、可再生率评估、物理可行性评估、多样性评估，输出 VaR/CVaR、期望可再生率、期望弃电率、薄弱时段等关键风险指标，并通过雷达图可视化对比。</w:t>
      </w:r>
    </w:p>
    <w:p w14:paraId="0F38249C">
      <w:pPr>
        <w:spacing w:before="80" w:after="280"/>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icture 1"/>
                    <pic:cNvPicPr>
                      <a:picLocks noChangeAspect="1"/>
                    </pic:cNvPicPr>
                  </pic:nvPicPr>
                  <pic:blipFill>
                    <a:blip r:embed="rId15"/>
                    <a:stretch>
                      <a:fillRect/>
                    </a:stretch>
                  </pic:blipFill>
                  <pic:spPr>
                    <a:xfrm>
                      <a:off x="0" y="0"/>
                      <a:ext cx="5486400" cy="3291840"/>
                    </a:xfrm>
                    <a:prstGeom prst="rect">
                      <a:avLst/>
                    </a:prstGeom>
                  </pic:spPr>
                </pic:pic>
              </a:graphicData>
            </a:graphic>
          </wp:inline>
        </w:drawing>
      </w:r>
    </w:p>
    <w:p w14:paraId="2ECFBC78"/>
    <w:p w14:paraId="7ECDD430">
      <w:pPr>
        <w:pStyle w:val="5"/>
        <w:spacing w:before="240" w:after="80"/>
      </w:pPr>
      <w:r>
        <w:rPr>
          <w:rFonts w:ascii="微软雅黑" w:hAnsi="微软雅黑" w:eastAsia="微软雅黑"/>
          <w:b/>
          <w:i w:val="0"/>
          <w:color w:val="2E865A"/>
          <w:sz w:val="24"/>
        </w:rPr>
        <w:t>7.1　场景评估</w:t>
      </w:r>
    </w:p>
    <w:p w14:paraId="2527E887">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管理场景评估的创建、查看与删除，并通过雷达图对比多组评估。</w:t>
      </w:r>
    </w:p>
    <w:p w14:paraId="661B0FD6">
      <w:pPr>
        <w:spacing w:before="0" w:after="0"/>
      </w:pPr>
    </w:p>
    <w:p w14:paraId="13F32AA0">
      <w:pPr>
        <w:pStyle w:val="6"/>
        <w:spacing w:before="160" w:after="60"/>
      </w:pPr>
      <w:r>
        <w:rPr>
          <w:rFonts w:ascii="微软雅黑" w:hAnsi="微软雅黑" w:eastAsia="微软雅黑"/>
          <w:b/>
          <w:i w:val="0"/>
          <w:color w:val="2E865A"/>
          <w:sz w:val="22"/>
        </w:rPr>
        <w:t>场景评估</w:t>
      </w:r>
    </w:p>
    <w:p w14:paraId="1D1E9339">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管理 4 类场景评估（risk/renewable/physical/diversity）。</w:t>
      </w:r>
    </w:p>
    <w:p w14:paraId="07BCEC15">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1"/>
                    <pic:cNvPicPr>
                      <a:picLocks noChangeAspect="1"/>
                    </pic:cNvPicPr>
                  </pic:nvPicPr>
                  <pic:blipFill>
                    <a:blip r:embed="rId15"/>
                    <a:stretch>
                      <a:fillRect/>
                    </a:stretch>
                  </pic:blipFill>
                  <pic:spPr>
                    <a:xfrm>
                      <a:off x="0" y="0"/>
                      <a:ext cx="5486400" cy="3291840"/>
                    </a:xfrm>
                    <a:prstGeom prst="rect">
                      <a:avLst/>
                    </a:prstGeom>
                  </pic:spPr>
                </pic:pic>
              </a:graphicData>
            </a:graphic>
          </wp:inline>
        </w:drawing>
      </w:r>
    </w:p>
    <w:p w14:paraId="1EEF10BB">
      <w:pPr>
        <w:spacing w:before="0" w:after="0"/>
      </w:pPr>
    </w:p>
    <w:p w14:paraId="0FBD8F6A">
      <w:pPr>
        <w:spacing w:before="160" w:after="40"/>
      </w:pPr>
      <w:r>
        <w:rPr>
          <w:rFonts w:ascii="微软雅黑" w:hAnsi="微软雅黑" w:eastAsia="微软雅黑"/>
          <w:b/>
          <w:i w:val="0"/>
          <w:color w:val="2E865A"/>
          <w:sz w:val="21"/>
        </w:rPr>
        <w:t>【1】新增场景评估</w:t>
      </w:r>
    </w:p>
    <w:p w14:paraId="3E2C84D1">
      <w:pPr>
        <w:spacing w:before="0" w:after="0"/>
      </w:pPr>
    </w:p>
    <w:p w14:paraId="5CF04F7F">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点击左侧导航【场景管理】→【场景评估管理】</w:t>
      </w:r>
    </w:p>
    <w:p w14:paraId="39C886FF">
      <w:pPr>
        <w:spacing w:before="0" w:after="0"/>
      </w:pPr>
    </w:p>
    <w:p w14:paraId="5309D1B8">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点击【新增评估】按钮，选择场景集合、输入评估名称、选择评估类型（CVaR风险/可再生率/物理可行性/多样性）</w:t>
      </w:r>
    </w:p>
    <w:p w14:paraId="1C78F162">
      <w:pPr>
        <w:spacing w:before="0" w:after="0"/>
      </w:pPr>
    </w:p>
    <w:p w14:paraId="62F074B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输入 VaR 95%、CVaR 95%、期望可再生率(0-1)、期望弃电率(0-1)、薄弱时段(JSON 数组)</w:t>
      </w:r>
    </w:p>
    <w:p w14:paraId="01FCEA31">
      <w:pPr>
        <w:spacing w:before="0" w:after="0"/>
      </w:pPr>
    </w:p>
    <w:p w14:paraId="2474F81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步骤4　</w:t>
      </w:r>
      <w:r>
        <w:rPr>
          <w:rFonts w:ascii="微软雅黑" w:hAnsi="微软雅黑" w:eastAsia="微软雅黑"/>
          <w:b w:val="0"/>
          <w:i w:val="0"/>
          <w:color w:val="1A1A1A"/>
          <w:sz w:val="20"/>
        </w:rPr>
        <w:t>点击【保存】提交，列表自动刷新并显示新评估</w:t>
      </w:r>
    </w:p>
    <w:p w14:paraId="340F7629">
      <w:pPr>
        <w:spacing w:before="0" w:after="0"/>
      </w:pPr>
    </w:p>
    <w:p w14:paraId="7A077F05">
      <w:pPr>
        <w:spacing w:before="0" w:after="0"/>
      </w:pPr>
    </w:p>
    <w:p w14:paraId="1051E2CD">
      <w:pPr>
        <w:spacing w:before="60" w:after="0"/>
        <w:ind w:left="397"/>
      </w:pPr>
      <w:r>
        <w:rPr>
          <w:rFonts w:ascii="微软雅黑" w:hAnsi="微软雅黑" w:eastAsia="微软雅黑"/>
          <w:b/>
          <w:i w:val="0"/>
          <w:color w:val="CC0000"/>
          <w:sz w:val="20"/>
        </w:rPr>
        <w:t>注意：</w:t>
      </w:r>
    </w:p>
    <w:p w14:paraId="0D7B377D">
      <w:pPr>
        <w:spacing w:before="0" w:after="0"/>
      </w:pPr>
    </w:p>
    <w:p w14:paraId="375DC9D7">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VaR 与 CVaR 均为 95% 置信度风险指标；CVaR ≥ VaR</w:t>
      </w:r>
    </w:p>
    <w:p w14:paraId="23924A62">
      <w:pPr>
        <w:spacing w:before="0" w:after="0"/>
      </w:pPr>
    </w:p>
    <w:p w14:paraId="12BD923C">
      <w:pPr>
        <w:spacing w:before="0" w:after="0"/>
      </w:pPr>
    </w:p>
    <w:p w14:paraId="551485EA">
      <w:pPr>
        <w:spacing w:before="0" w:after="40"/>
      </w:pPr>
    </w:p>
    <w:p w14:paraId="206C7767">
      <w:pPr>
        <w:spacing w:before="0" w:after="0"/>
      </w:pPr>
    </w:p>
    <w:p w14:paraId="597DA11C">
      <w:pPr>
        <w:spacing w:before="160" w:after="40"/>
      </w:pPr>
      <w:r>
        <w:rPr>
          <w:rFonts w:ascii="微软雅黑" w:hAnsi="微软雅黑" w:eastAsia="微软雅黑"/>
          <w:b/>
          <w:i w:val="0"/>
          <w:color w:val="2E865A"/>
          <w:sz w:val="21"/>
        </w:rPr>
        <w:t>【2】筛选评估</w:t>
      </w:r>
    </w:p>
    <w:p w14:paraId="335C80B6">
      <w:pPr>
        <w:spacing w:before="0" w:after="0"/>
      </w:pPr>
    </w:p>
    <w:p w14:paraId="296FC95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在顶部【筛选场景集】下拉框选择目标场景集合，列表自动过滤显示该集合的评估记录</w:t>
      </w:r>
    </w:p>
    <w:p w14:paraId="42D9C22D">
      <w:pPr>
        <w:spacing w:before="0" w:after="0"/>
      </w:pPr>
    </w:p>
    <w:p w14:paraId="6ACE64AD">
      <w:pPr>
        <w:spacing w:before="0" w:after="0"/>
      </w:pPr>
    </w:p>
    <w:p w14:paraId="47F02177">
      <w:pPr>
        <w:spacing w:before="0" w:after="40"/>
      </w:pPr>
    </w:p>
    <w:p w14:paraId="1091C3B9">
      <w:pPr>
        <w:spacing w:before="0" w:after="0"/>
      </w:pPr>
    </w:p>
    <w:p w14:paraId="33A818B5">
      <w:pPr>
        <w:spacing w:before="160" w:after="40"/>
      </w:pPr>
      <w:r>
        <w:rPr>
          <w:rFonts w:ascii="微软雅黑" w:hAnsi="微软雅黑" w:eastAsia="微软雅黑"/>
          <w:b/>
          <w:i w:val="0"/>
          <w:color w:val="2E865A"/>
          <w:sz w:val="21"/>
        </w:rPr>
        <w:t>【3】查看雷达图对比</w:t>
      </w:r>
    </w:p>
    <w:p w14:paraId="5F2F6A50">
      <w:pPr>
        <w:spacing w:before="0" w:after="0"/>
      </w:pPr>
    </w:p>
    <w:p w14:paraId="5C834D0F">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页面下方【风险分析雷达图】卡片以雷达图展示前 5 组评估的 CVaR风险、可再生率、物理可行、多样性、弃电率五维对比</w:t>
      </w:r>
    </w:p>
    <w:p w14:paraId="052261C4">
      <w:pPr>
        <w:spacing w:before="0" w:after="0"/>
      </w:pPr>
    </w:p>
    <w:p w14:paraId="0575B3CF">
      <w:pPr>
        <w:spacing w:before="0" w:after="0"/>
      </w:pPr>
    </w:p>
    <w:p w14:paraId="6BE812ED">
      <w:pPr>
        <w:spacing w:before="0" w:after="40"/>
      </w:pPr>
    </w:p>
    <w:p w14:paraId="0203692F">
      <w:pPr>
        <w:spacing w:before="0" w:after="0"/>
      </w:pPr>
    </w:p>
    <w:p w14:paraId="659DC6C3">
      <w:pPr>
        <w:spacing w:before="160" w:after="40"/>
      </w:pPr>
      <w:r>
        <w:rPr>
          <w:rFonts w:ascii="微软雅黑" w:hAnsi="微软雅黑" w:eastAsia="微软雅黑"/>
          <w:b/>
          <w:i w:val="0"/>
          <w:color w:val="2E865A"/>
          <w:sz w:val="21"/>
        </w:rPr>
        <w:t>【4】删除评估</w:t>
      </w:r>
    </w:p>
    <w:p w14:paraId="72A4D8CD">
      <w:pPr>
        <w:spacing w:before="0" w:after="0"/>
      </w:pPr>
    </w:p>
    <w:p w14:paraId="2AC2BD15">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点击评估行【删除】按钮，确认后删除</w:t>
      </w:r>
    </w:p>
    <w:p w14:paraId="41D469BA">
      <w:pPr>
        <w:spacing w:before="0" w:after="0"/>
      </w:pPr>
    </w:p>
    <w:p w14:paraId="62CB9055">
      <w:pPr>
        <w:spacing w:before="0" w:after="0"/>
      </w:pPr>
    </w:p>
    <w:p w14:paraId="111FD33A">
      <w:pPr>
        <w:spacing w:before="60" w:after="0"/>
        <w:ind w:left="397"/>
      </w:pPr>
      <w:r>
        <w:rPr>
          <w:rFonts w:ascii="微软雅黑" w:hAnsi="微软雅黑" w:eastAsia="微软雅黑"/>
          <w:b/>
          <w:i w:val="0"/>
          <w:color w:val="CC0000"/>
          <w:sz w:val="20"/>
        </w:rPr>
        <w:t>注意：</w:t>
      </w:r>
    </w:p>
    <w:p w14:paraId="39B93B7B">
      <w:pPr>
        <w:spacing w:before="0" w:after="0"/>
      </w:pPr>
    </w:p>
    <w:p w14:paraId="1C3AF3D1">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删除操作不可撤销</w:t>
      </w:r>
    </w:p>
    <w:p w14:paraId="1114907E">
      <w:pPr>
        <w:spacing w:before="0" w:after="0"/>
      </w:pPr>
    </w:p>
    <w:p w14:paraId="64A66C5D">
      <w:pPr>
        <w:spacing w:before="0" w:after="0"/>
      </w:pPr>
    </w:p>
    <w:p w14:paraId="6EE9EC82">
      <w:pPr>
        <w:spacing w:before="0" w:after="40"/>
      </w:pPr>
    </w:p>
    <w:p w14:paraId="7A1B261B">
      <w:pPr>
        <w:spacing w:before="0" w:after="0"/>
      </w:pPr>
    </w:p>
    <w:p w14:paraId="27FBF125">
      <w:pPr>
        <w:spacing w:before="0" w:after="0"/>
      </w:pPr>
    </w:p>
    <w:p w14:paraId="33769327">
      <w:pPr>
        <w:spacing w:before="0" w:after="0"/>
      </w:pPr>
    </w:p>
    <w:p w14:paraId="156E5F94">
      <w:pPr>
        <w:spacing w:before="0" w:after="0"/>
      </w:pPr>
    </w:p>
    <w:p w14:paraId="4A425AB7">
      <w:pPr>
        <w:pStyle w:val="4"/>
        <w:spacing w:before="320" w:after="100"/>
      </w:pPr>
      <w:r>
        <w:rPr>
          <w:rFonts w:ascii="微软雅黑" w:hAnsi="微软雅黑" w:eastAsia="微软雅黑"/>
          <w:b/>
          <w:i w:val="0"/>
          <w:color w:val="16543B"/>
          <w:sz w:val="28"/>
        </w:rPr>
        <w:t>第8章　用户管理</w:t>
      </w:r>
    </w:p>
    <w:p w14:paraId="3A1700F3">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系统管理员对系统用户的账号、角色、状态进行统一管理，支持创建、编辑、启用/禁用、删除四类操作。</w:t>
      </w:r>
    </w:p>
    <w:p w14:paraId="01D2FCE4">
      <w:pPr>
        <w:spacing w:before="80" w:after="280"/>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1"/>
                    <pic:cNvPicPr>
                      <a:picLocks noChangeAspect="1"/>
                    </pic:cNvPicPr>
                  </pic:nvPicPr>
                  <pic:blipFill>
                    <a:blip r:embed="rId16"/>
                    <a:stretch>
                      <a:fillRect/>
                    </a:stretch>
                  </pic:blipFill>
                  <pic:spPr>
                    <a:xfrm>
                      <a:off x="0" y="0"/>
                      <a:ext cx="5486400" cy="3291840"/>
                    </a:xfrm>
                    <a:prstGeom prst="rect">
                      <a:avLst/>
                    </a:prstGeom>
                  </pic:spPr>
                </pic:pic>
              </a:graphicData>
            </a:graphic>
          </wp:inline>
        </w:drawing>
      </w:r>
    </w:p>
    <w:p w14:paraId="41099D57"/>
    <w:p w14:paraId="3E998631">
      <w:pPr>
        <w:pStyle w:val="5"/>
        <w:spacing w:before="240" w:after="80"/>
      </w:pPr>
      <w:r>
        <w:rPr>
          <w:rFonts w:ascii="微软雅黑" w:hAnsi="微软雅黑" w:eastAsia="微软雅黑"/>
          <w:b/>
          <w:i w:val="0"/>
          <w:color w:val="2E865A"/>
          <w:sz w:val="24"/>
        </w:rPr>
        <w:t>8.1　用户管理</w:t>
      </w:r>
    </w:p>
    <w:p w14:paraId="10576957">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管理系统所有用户账号。</w:t>
      </w:r>
    </w:p>
    <w:p w14:paraId="1D9B474F">
      <w:pPr>
        <w:spacing w:before="0" w:after="0"/>
      </w:pPr>
    </w:p>
    <w:p w14:paraId="46BE37EB">
      <w:pPr>
        <w:pStyle w:val="6"/>
        <w:spacing w:before="160" w:after="60"/>
      </w:pPr>
      <w:r>
        <w:rPr>
          <w:rFonts w:ascii="微软雅黑" w:hAnsi="微软雅黑" w:eastAsia="微软雅黑"/>
          <w:b/>
          <w:i w:val="0"/>
          <w:color w:val="2E865A"/>
          <w:sz w:val="22"/>
        </w:rPr>
        <w:t>用户管理</w:t>
      </w:r>
    </w:p>
    <w:p w14:paraId="13FC3364">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管理用户账号全生命周期。</w:t>
      </w:r>
    </w:p>
    <w:p w14:paraId="3A018299">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distT="0" distB="0" distL="114300" distR="114300">
            <wp:extent cx="5486400" cy="3291840"/>
            <wp:effectExtent l="0" t="0" r="0" b="10160"/>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1"/>
                    <pic:cNvPicPr>
                      <a:picLocks noChangeAspect="1"/>
                    </pic:cNvPicPr>
                  </pic:nvPicPr>
                  <pic:blipFill>
                    <a:blip r:embed="rId16"/>
                    <a:stretch>
                      <a:fillRect/>
                    </a:stretch>
                  </pic:blipFill>
                  <pic:spPr>
                    <a:xfrm>
                      <a:off x="0" y="0"/>
                      <a:ext cx="5486400" cy="3291840"/>
                    </a:xfrm>
                    <a:prstGeom prst="rect">
                      <a:avLst/>
                    </a:prstGeom>
                  </pic:spPr>
                </pic:pic>
              </a:graphicData>
            </a:graphic>
          </wp:inline>
        </w:drawing>
      </w:r>
    </w:p>
    <w:p w14:paraId="54D23FA1">
      <w:pPr>
        <w:spacing w:before="0" w:after="0"/>
      </w:pPr>
    </w:p>
    <w:p w14:paraId="39998AC9">
      <w:pPr>
        <w:spacing w:before="160" w:after="40"/>
      </w:pPr>
      <w:r>
        <w:rPr>
          <w:rFonts w:ascii="微软雅黑" w:hAnsi="微软雅黑" w:eastAsia="微软雅黑"/>
          <w:b/>
          <w:i w:val="0"/>
          <w:color w:val="2E865A"/>
          <w:sz w:val="21"/>
        </w:rPr>
        <w:t>【1】新建用户</w:t>
      </w:r>
    </w:p>
    <w:p w14:paraId="5FC2051C">
      <w:pPr>
        <w:spacing w:before="0" w:after="0"/>
      </w:pPr>
    </w:p>
    <w:p w14:paraId="1D2B2BF2">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点击左侧导航【用户管理】</w:t>
      </w:r>
    </w:p>
    <w:p w14:paraId="2347773D">
      <w:pPr>
        <w:spacing w:before="0" w:after="0"/>
      </w:pPr>
    </w:p>
    <w:p w14:paraId="0C81677B">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点击【新建用户】按钮，输入用户名、邮箱、密码、选择角色（系统管理员/调度分析员/数据分析员/运维工程师）</w:t>
      </w:r>
    </w:p>
    <w:p w14:paraId="22BE0D2C">
      <w:pPr>
        <w:spacing w:before="0" w:after="0"/>
      </w:pPr>
    </w:p>
    <w:p w14:paraId="3D6D5431">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步骤3　</w:t>
      </w:r>
      <w:r>
        <w:rPr>
          <w:rFonts w:ascii="微软雅黑" w:hAnsi="微软雅黑" w:eastAsia="微软雅黑"/>
          <w:b w:val="0"/>
          <w:i w:val="0"/>
          <w:color w:val="1A1A1A"/>
          <w:sz w:val="20"/>
        </w:rPr>
        <w:t>点击【保存】完成创建，列表自动刷新</w:t>
      </w:r>
    </w:p>
    <w:p w14:paraId="3761A1AE">
      <w:pPr>
        <w:spacing w:before="0" w:after="0"/>
      </w:pPr>
    </w:p>
    <w:p w14:paraId="2BE51D9A">
      <w:pPr>
        <w:spacing w:before="0" w:after="0"/>
      </w:pPr>
    </w:p>
    <w:p w14:paraId="7124A045">
      <w:pPr>
        <w:spacing w:before="60" w:after="0"/>
        <w:ind w:left="397"/>
      </w:pPr>
      <w:r>
        <w:rPr>
          <w:rFonts w:ascii="微软雅黑" w:hAnsi="微软雅黑" w:eastAsia="微软雅黑"/>
          <w:b/>
          <w:i w:val="0"/>
          <w:color w:val="CC0000"/>
          <w:sz w:val="20"/>
        </w:rPr>
        <w:t>注意：</w:t>
      </w:r>
    </w:p>
    <w:p w14:paraId="447ED565">
      <w:pPr>
        <w:spacing w:before="0" w:after="0"/>
      </w:pPr>
    </w:p>
    <w:p w14:paraId="46E4D36A">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用户名与邮箱在系统中必须唯一</w:t>
      </w:r>
    </w:p>
    <w:p w14:paraId="48609677">
      <w:pPr>
        <w:spacing w:before="0" w:after="0"/>
      </w:pPr>
    </w:p>
    <w:p w14:paraId="6B0E7F62">
      <w:pPr>
        <w:spacing w:before="0" w:after="0"/>
      </w:pPr>
    </w:p>
    <w:p w14:paraId="0FE3D3E0">
      <w:pPr>
        <w:spacing w:before="0" w:after="40"/>
      </w:pPr>
    </w:p>
    <w:p w14:paraId="5CBDB691">
      <w:pPr>
        <w:spacing w:before="0" w:after="0"/>
      </w:pPr>
    </w:p>
    <w:p w14:paraId="5BF63484">
      <w:pPr>
        <w:spacing w:before="160" w:after="40"/>
      </w:pPr>
      <w:r>
        <w:rPr>
          <w:rFonts w:ascii="微软雅黑" w:hAnsi="微软雅黑" w:eastAsia="微软雅黑"/>
          <w:b/>
          <w:i w:val="0"/>
          <w:color w:val="2E865A"/>
          <w:sz w:val="21"/>
        </w:rPr>
        <w:t>【2】启用/禁用用户</w:t>
      </w:r>
    </w:p>
    <w:p w14:paraId="1DD4DB03">
      <w:pPr>
        <w:spacing w:before="0" w:after="0"/>
      </w:pPr>
    </w:p>
    <w:p w14:paraId="5A9445B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在用户列表点击目标用户行的【启用】或【禁用】按钮</w:t>
      </w:r>
    </w:p>
    <w:p w14:paraId="0C8C253C">
      <w:pPr>
        <w:spacing w:before="0" w:after="0"/>
      </w:pPr>
    </w:p>
    <w:p w14:paraId="466A9343">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步骤2　</w:t>
      </w:r>
      <w:r>
        <w:rPr>
          <w:rFonts w:ascii="微软雅黑" w:hAnsi="微软雅黑" w:eastAsia="微软雅黑"/>
          <w:b w:val="0"/>
          <w:i w:val="0"/>
          <w:color w:val="1A1A1A"/>
          <w:sz w:val="20"/>
        </w:rPr>
        <w:t>状态切换成功后，被禁用的用户无法登录系统</w:t>
      </w:r>
    </w:p>
    <w:p w14:paraId="18432928">
      <w:pPr>
        <w:spacing w:before="0" w:after="0"/>
      </w:pPr>
    </w:p>
    <w:p w14:paraId="49A038E9">
      <w:pPr>
        <w:spacing w:before="0" w:after="0"/>
      </w:pPr>
    </w:p>
    <w:p w14:paraId="3E41E0ED">
      <w:pPr>
        <w:spacing w:before="60" w:after="0"/>
        <w:ind w:left="397"/>
      </w:pPr>
      <w:r>
        <w:rPr>
          <w:rFonts w:ascii="微软雅黑" w:hAnsi="微软雅黑" w:eastAsia="微软雅黑"/>
          <w:b/>
          <w:i w:val="0"/>
          <w:color w:val="CC0000"/>
          <w:sz w:val="20"/>
        </w:rPr>
        <w:t>注意：</w:t>
      </w:r>
    </w:p>
    <w:p w14:paraId="3AD6ECEB">
      <w:pPr>
        <w:spacing w:before="0" w:after="0"/>
      </w:pPr>
    </w:p>
    <w:p w14:paraId="5E3EBF3A">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禁用 admin 账号将导致无法登录系统，请谨慎操作</w:t>
      </w:r>
    </w:p>
    <w:p w14:paraId="5C13A24C">
      <w:pPr>
        <w:spacing w:before="0" w:after="0"/>
      </w:pPr>
    </w:p>
    <w:p w14:paraId="2678DE71">
      <w:pPr>
        <w:spacing w:before="0" w:after="0"/>
      </w:pPr>
    </w:p>
    <w:p w14:paraId="4E644360">
      <w:pPr>
        <w:spacing w:before="0" w:after="40"/>
      </w:pPr>
    </w:p>
    <w:p w14:paraId="6893B2F3">
      <w:pPr>
        <w:spacing w:before="0" w:after="0"/>
      </w:pPr>
    </w:p>
    <w:p w14:paraId="50066AAA">
      <w:pPr>
        <w:spacing w:before="160" w:after="40"/>
      </w:pPr>
      <w:r>
        <w:rPr>
          <w:rFonts w:ascii="微软雅黑" w:hAnsi="微软雅黑" w:eastAsia="微软雅黑"/>
          <w:b/>
          <w:i w:val="0"/>
          <w:color w:val="2E865A"/>
          <w:sz w:val="21"/>
        </w:rPr>
        <w:t>【3】编辑/删除用户</w:t>
      </w:r>
    </w:p>
    <w:p w14:paraId="3AA540F1">
      <w:pPr>
        <w:spacing w:before="0" w:after="0"/>
      </w:pPr>
    </w:p>
    <w:p w14:paraId="1E86A1AD">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步骤1　</w:t>
      </w:r>
      <w:r>
        <w:rPr>
          <w:rFonts w:ascii="微软雅黑" w:hAnsi="微软雅黑" w:eastAsia="微软雅黑"/>
          <w:b w:val="0"/>
          <w:i w:val="0"/>
          <w:color w:val="1A1A1A"/>
          <w:sz w:val="20"/>
        </w:rPr>
        <w:t>点击用户行【编辑】修改邮箱、角色、密码（可选），或【删除】按钮删除用户</w:t>
      </w:r>
    </w:p>
    <w:p w14:paraId="28C92192">
      <w:pPr>
        <w:spacing w:before="0" w:after="0"/>
      </w:pPr>
    </w:p>
    <w:p w14:paraId="1E91E6FC">
      <w:pPr>
        <w:spacing w:before="0" w:after="0"/>
      </w:pPr>
    </w:p>
    <w:p w14:paraId="70A7C356">
      <w:pPr>
        <w:spacing w:before="60" w:after="0"/>
        <w:ind w:left="397"/>
      </w:pPr>
      <w:r>
        <w:rPr>
          <w:rFonts w:ascii="微软雅黑" w:hAnsi="微软雅黑" w:eastAsia="微软雅黑"/>
          <w:b/>
          <w:i w:val="0"/>
          <w:color w:val="CC0000"/>
          <w:sz w:val="20"/>
        </w:rPr>
        <w:t>注意：</w:t>
      </w:r>
    </w:p>
    <w:p w14:paraId="28F21C16">
      <w:pPr>
        <w:spacing w:before="0" w:after="0"/>
      </w:pPr>
    </w:p>
    <w:p w14:paraId="4224C65A">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删除用户操作不可撤销</w:t>
      </w:r>
    </w:p>
    <w:p w14:paraId="0FE09F29">
      <w:pPr>
        <w:spacing w:before="0" w:after="0"/>
      </w:pPr>
    </w:p>
    <w:p w14:paraId="4315B001">
      <w:pPr>
        <w:spacing w:before="0" w:after="0"/>
      </w:pPr>
    </w:p>
    <w:p w14:paraId="1D535B84">
      <w:pPr>
        <w:spacing w:before="0" w:after="40"/>
      </w:pPr>
    </w:p>
    <w:p w14:paraId="522DC6FA">
      <w:pPr>
        <w:spacing w:before="0" w:after="0"/>
      </w:pPr>
    </w:p>
    <w:p w14:paraId="220D7450">
      <w:pPr>
        <w:spacing w:before="0" w:after="0"/>
      </w:pPr>
    </w:p>
    <w:p w14:paraId="38494AB9">
      <w:pPr>
        <w:spacing w:before="0" w:after="0"/>
      </w:pPr>
    </w:p>
    <w:p w14:paraId="65267ED8">
      <w:pPr>
        <w:spacing w:before="0" w:after="0"/>
      </w:pPr>
    </w:p>
    <w:p w14:paraId="209F539A">
      <w:r>
        <w:br w:type="page"/>
      </w:r>
    </w:p>
    <w:p w14:paraId="49755DC3">
      <w:pPr>
        <w:pStyle w:val="3"/>
        <w:spacing w:before="400" w:after="120"/>
      </w:pPr>
      <w:r>
        <w:rPr>
          <w:rFonts w:ascii="微软雅黑" w:hAnsi="微软雅黑" w:eastAsia="微软雅黑"/>
          <w:b/>
          <w:i w:val="0"/>
          <w:color w:val="16543B"/>
          <w:sz w:val="32"/>
        </w:rPr>
        <w:t>3. 常见问题</w:t>
      </w:r>
    </w:p>
    <w:p w14:paraId="005F4AA4">
      <w:pPr>
        <w:spacing w:before="0" w:after="0"/>
      </w:pPr>
    </w:p>
    <w:p w14:paraId="215B477D">
      <w:r>
        <w:br w:type="page"/>
      </w:r>
    </w:p>
    <w:p w14:paraId="007CDAEC">
      <w:pPr>
        <w:pStyle w:val="3"/>
        <w:spacing w:before="400" w:after="120"/>
      </w:pPr>
      <w:r>
        <w:rPr>
          <w:rFonts w:ascii="微软雅黑" w:hAnsi="微软雅黑" w:eastAsia="微软雅黑"/>
          <w:b/>
          <w:i w:val="0"/>
          <w:color w:val="16543B"/>
          <w:sz w:val="32"/>
        </w:rPr>
        <w:t>4. 附录：角色功能对照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3001"/>
        <w:gridCol w:w="4357"/>
      </w:tblGrid>
      <w:tr w14:paraId="64D2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16543B"/>
          </w:tcPr>
          <w:p w14:paraId="2047CB56">
            <w:pPr>
              <w:spacing w:after="0" w:line="240" w:lineRule="auto"/>
              <w:jc w:val="center"/>
            </w:pPr>
            <w:r>
              <w:rPr>
                <w:rFonts w:ascii="微软雅黑" w:hAnsi="微软雅黑" w:eastAsia="微软雅黑"/>
                <w:b/>
                <w:i w:val="0"/>
                <w:color w:val="FFFFFF"/>
                <w:sz w:val="20"/>
              </w:rPr>
              <w:t>角色</w:t>
            </w:r>
          </w:p>
        </w:tc>
        <w:tc>
          <w:tcPr>
            <w:tcW w:w="3118" w:type="dxa"/>
            <w:shd w:val="clear" w:color="auto" w:fill="16543B"/>
          </w:tcPr>
          <w:p w14:paraId="12A6AEBE">
            <w:pPr>
              <w:spacing w:after="0" w:line="240" w:lineRule="auto"/>
              <w:jc w:val="center"/>
            </w:pPr>
            <w:r>
              <w:rPr>
                <w:rFonts w:ascii="微软雅黑" w:hAnsi="微软雅黑" w:eastAsia="微软雅黑"/>
                <w:b/>
                <w:i w:val="0"/>
                <w:color w:val="FFFFFF"/>
                <w:sz w:val="20"/>
              </w:rPr>
              <w:t>可使用的功能模块</w:t>
            </w:r>
          </w:p>
        </w:tc>
        <w:tc>
          <w:tcPr>
            <w:tcW w:w="4535" w:type="dxa"/>
            <w:shd w:val="clear" w:color="auto" w:fill="16543B"/>
          </w:tcPr>
          <w:p w14:paraId="02FA2EB9">
            <w:pPr>
              <w:spacing w:after="0" w:line="240" w:lineRule="auto"/>
              <w:jc w:val="center"/>
            </w:pPr>
            <w:r>
              <w:rPr>
                <w:rFonts w:ascii="微软雅黑" w:hAnsi="微软雅黑" w:eastAsia="微软雅黑"/>
                <w:b/>
                <w:i w:val="0"/>
                <w:color w:val="FFFFFF"/>
                <w:sz w:val="20"/>
              </w:rPr>
              <w:t>主要操作权限</w:t>
            </w:r>
          </w:p>
        </w:tc>
      </w:tr>
    </w:tbl>
    <w:p w14:paraId="5955FB9A">
      <w:pPr>
        <w:spacing w:before="0" w:after="0"/>
      </w:pPr>
    </w:p>
    <w:p w14:paraId="3A548DCF">
      <w:pPr>
        <w:pStyle w:val="4"/>
        <w:spacing w:before="320" w:after="100"/>
      </w:pPr>
      <w:r>
        <w:rPr>
          <w:rFonts w:ascii="微软雅黑" w:hAnsi="微软雅黑" w:eastAsia="微软雅黑"/>
          <w:b/>
          <w:i w:val="0"/>
          <w:color w:val="16543B"/>
          <w:sz w:val="28"/>
        </w:rPr>
        <w:t>联系技术支持</w:t>
      </w:r>
    </w:p>
    <w:p w14:paraId="252BE5BD">
      <w:pPr>
        <w:spacing w:before="80" w:after="80"/>
      </w:pPr>
      <w:r>
        <w:rPr>
          <w:rFonts w:ascii="微软雅黑" w:hAnsi="微软雅黑" w:eastAsia="微软雅黑"/>
          <w:b w:val="0"/>
          <w:i w:val="0"/>
          <w:color w:val="1A1A1A"/>
          <w:sz w:val="21"/>
        </w:rPr>
        <w:t>如遇系统问题，请联系：</w:t>
      </w:r>
    </w:p>
    <w:sectPr>
      <w:headerReference r:id="rId5" w:type="default"/>
      <w:pgSz w:w="11906" w:h="16838"/>
      <w:pgMar w:top="1417" w:right="1417" w:bottom="1417" w:left="1701"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A868D">
    <w:pPr>
      <w:pStyle w:val="25"/>
      <w:rPr>
        <w:rFonts w:hint="default" w:eastAsia="宋体"/>
        <w:lang w:val="en-US" w:eastAsia="zh-CN"/>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6C22E">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E26C22E">
                    <w:pPr>
                      <w:pStyle w:val="2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eastAsia="宋体"/>
        <w:lang w:val="en-US" w:eastAsia="zh-CN"/>
      </w:rPr>
      <w:t>基于源荷不确定性的水电源荷场景多阶段生成系统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5073"/>
    <w:rsid w:val="169D7934"/>
    <w:rsid w:val="2F0B0CBB"/>
    <w:rsid w:val="37087C7E"/>
    <w:rsid w:val="463330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3711</Words>
  <Characters>4216</Characters>
  <Lines>0</Lines>
  <Paragraphs>0</Paragraphs>
  <TotalTime>5</TotalTime>
  <ScaleCrop>false</ScaleCrop>
  <LinksUpToDate>false</LinksUpToDate>
  <CharactersWithSpaces>4446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小金</cp:lastModifiedBy>
  <dcterms:modified xsi:type="dcterms:W3CDTF">2026-04-30T07:45:37Z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eyJoZGlkIjoiNzRhNDE4ZDhhZGNlOTljOTQ2MzI0MGIwYWQ3MDMzZmIiLCJ1c2VySWQiOiIzMjg4MDM5NTcifQ==</vt:lpwstr>
  </property>
  <property fmtid="{D5CDD505-2E9C-101B-9397-08002B2CF9AE}" pid="3" name="KSOProductBuildVer">
    <vt:lpwstr>2052-12.1.0.25865</vt:lpwstr>
  </property>
  <property fmtid="{D5CDD505-2E9C-101B-9397-08002B2CF9AE}" pid="4" name="ICV">
    <vt:lpwstr>C12127A232134C13865BB60163F83B3A_12</vt:lpwstr>
  </property>
</Properties>
</file>