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of the abstract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 not write your name and email address)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Anonymised abstracts are invited for oral and poster presentations at the 47th International Conference of the Linguistic Society of India. ICOSLI-47 will be held between 13th-15th November 2025 at Jadavpur University, Kolkata.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 should be one-page long and follow this template. Authors can have an extra page for figures and references but the entire abstract should not exceed two pages. The title of the abstract should be in Times New Roman in 14 pts. The rest of the body of the abstract should be in Times New Roman and 12 pts. Please do not edit the margins of this template.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must use the </w:t>
      </w:r>
      <w:hyperlink r:id="rId6">
        <w:r w:rsidDel="00000000" w:rsidR="00000000" w:rsidRPr="00000000">
          <w:rPr>
            <w:rFonts w:ascii="Times New Roman" w:cs="Times New Roman" w:eastAsia="Times New Roman" w:hAnsi="Times New Roman"/>
            <w:color w:val="1155cc"/>
            <w:sz w:val="24"/>
            <w:szCs w:val="24"/>
            <w:u w:val="single"/>
            <w:rtl w:val="0"/>
          </w:rPr>
          <w:t xml:space="preserve">APA</w:t>
        </w:r>
      </w:hyperlink>
      <w:r w:rsidDel="00000000" w:rsidR="00000000" w:rsidRPr="00000000">
        <w:rPr>
          <w:rFonts w:ascii="Times New Roman" w:cs="Times New Roman" w:eastAsia="Times New Roman" w:hAnsi="Times New Roman"/>
          <w:sz w:val="24"/>
          <w:szCs w:val="24"/>
          <w:rtl w:val="0"/>
        </w:rPr>
        <w:t xml:space="preserve"> stylesheet for citations and references. The following paragraph exemplifies the use of intext and parenthetical citations in the APS style: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Chomsky (1965) introduced the concept of deep structure and surface structure, which has significantly influenced modern linguistic theory. His work laid the foundation for understanding syntactic transformations and their cognitive implications. Meanwhile, research on phonology and language use has emphasized the role of frequency effects and usage-based models (Bybee, 2001). These perspectives highlight the dynamic nature of linguistic structures, shaped both by innate principles and experience-driven patterns.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anonymised abstracts in pdf format will be accepted and reviewed. Any conscious or inadvertent revelation of author identity or institution would lead to a desk rejection of the abstract.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0">
      <w:pP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Bybee, J. (2001). Phonology and language use. </w:t>
      </w:r>
      <w:r w:rsidDel="00000000" w:rsidR="00000000" w:rsidRPr="00000000">
        <w:rPr>
          <w:rFonts w:ascii="Times New Roman" w:cs="Times New Roman" w:eastAsia="Times New Roman" w:hAnsi="Times New Roman"/>
          <w:i w:val="1"/>
          <w:sz w:val="24"/>
          <w:szCs w:val="24"/>
          <w:rtl w:val="0"/>
        </w:rPr>
        <w:t xml:space="preserve">Language and Linguistics Compass, 5</w:t>
      </w:r>
      <w:r w:rsidDel="00000000" w:rsidR="00000000" w:rsidRPr="00000000">
        <w:rPr>
          <w:rFonts w:ascii="Times New Roman" w:cs="Times New Roman" w:eastAsia="Times New Roman" w:hAnsi="Times New Roman"/>
          <w:sz w:val="24"/>
          <w:szCs w:val="24"/>
          <w:rtl w:val="0"/>
        </w:rPr>
        <w:t xml:space="preserve">(2), 118–134.</w:t>
      </w:r>
    </w:p>
    <w:p w:rsidR="00000000" w:rsidDel="00000000" w:rsidP="00000000" w:rsidRDefault="00000000" w:rsidRPr="00000000" w14:paraId="00000011">
      <w:pP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Chomsky, N. (1965). </w:t>
      </w:r>
      <w:r w:rsidDel="00000000" w:rsidR="00000000" w:rsidRPr="00000000">
        <w:rPr>
          <w:rFonts w:ascii="Times New Roman" w:cs="Times New Roman" w:eastAsia="Times New Roman" w:hAnsi="Times New Roman"/>
          <w:i w:val="1"/>
          <w:sz w:val="24"/>
          <w:szCs w:val="24"/>
          <w:rtl w:val="0"/>
        </w:rPr>
        <w:t xml:space="preserve">Aspects of the theory of syntax</w:t>
      </w:r>
      <w:r w:rsidDel="00000000" w:rsidR="00000000" w:rsidRPr="00000000">
        <w:rPr>
          <w:rFonts w:ascii="Times New Roman" w:cs="Times New Roman" w:eastAsia="Times New Roman" w:hAnsi="Times New Roman"/>
          <w:sz w:val="24"/>
          <w:szCs w:val="24"/>
          <w:rtl w:val="0"/>
        </w:rPr>
        <w:t xml:space="preserve">. MIT Press.</w:t>
      </w:r>
    </w:p>
    <w:p w:rsidR="00000000" w:rsidDel="00000000" w:rsidP="00000000" w:rsidRDefault="00000000" w:rsidRPr="00000000" w14:paraId="00000012">
      <w:pPr>
        <w:spacing w:after="20" w:before="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20" w:lineRule="auto"/>
      <w:jc w:val="both"/>
    </w:pPr>
    <w:rPr>
      <w:color w:val="434343"/>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astyle.apa.org/style-grammar-guidelines/reference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