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7237A" w14:textId="77777777" w:rsidR="00051543" w:rsidRPr="00795B1D" w:rsidRDefault="00051543" w:rsidP="00051543">
      <w:pPr>
        <w:rPr>
          <w:rFonts w:ascii="Times New Roman" w:hAnsi="Times New Roman" w:cs="Times New Roman (Body CS)"/>
        </w:rPr>
      </w:pPr>
      <w:r w:rsidRPr="00795B1D">
        <w:rPr>
          <w:rFonts w:ascii="Times New Roman" w:hAnsi="Times New Roman" w:cs="Times New Roman (Body CS)"/>
        </w:rPr>
        <w:t>Goal 3: Ecosystem Monitoring</w:t>
      </w:r>
    </w:p>
    <w:p w14:paraId="31B8D32B" w14:textId="77777777" w:rsidR="00051543" w:rsidRPr="00795B1D" w:rsidRDefault="00051543" w:rsidP="00051543">
      <w:pPr>
        <w:rPr>
          <w:rFonts w:ascii="Times New Roman" w:hAnsi="Times New Roman" w:cs="Times New Roman (Body CS)"/>
        </w:rPr>
      </w:pPr>
    </w:p>
    <w:p w14:paraId="721C88CA" w14:textId="34E03BD0" w:rsidR="00AF244F" w:rsidRPr="00B35429" w:rsidRDefault="00051543" w:rsidP="00051543">
      <w:pPr>
        <w:rPr>
          <w:rFonts w:ascii="Times New Roman" w:hAnsi="Times New Roman" w:cs="Times New Roman (Body CS)"/>
          <w:b/>
          <w:bCs/>
        </w:rPr>
      </w:pPr>
      <w:r w:rsidRPr="00B35429">
        <w:rPr>
          <w:rFonts w:ascii="Times New Roman" w:hAnsi="Times New Roman" w:cs="Times New Roman (Body CS)"/>
          <w:b/>
          <w:bCs/>
        </w:rPr>
        <w:t>Photogrammetry equipment (including cameras, housings, mounts, PC, and ancillary field equipment) was purchased and constructed in Q1 2020.  However, strong winter winds followed by fieldwork restrictions caused by COVID-19, delayed establishment of the initial outplant sites.  Prior to COVID-19 shutdowns we were able to train on and field test the entire photogrammetry workflow successfully (Figure 15).  This has allowed us to make necessary modifications to our photogrammetry protocols.  Furthermore, we have narrowed down potential experimental sites by cross referencing prior outplant and reef-scale data, allowing for relatively rapid site selection and surveying in Q2 that will facilitate the start of outplanting activities as close to on schedule as possible.  Initial data collection for variables 1-6 will begin once final sites have been mapped and approved.</w:t>
      </w:r>
    </w:p>
    <w:p w14:paraId="1963712F" w14:textId="16F9CAA7" w:rsidR="00051543" w:rsidRPr="00795B1D" w:rsidRDefault="00051543" w:rsidP="00051543">
      <w:pPr>
        <w:rPr>
          <w:rFonts w:ascii="Times New Roman" w:hAnsi="Times New Roman" w:cs="Times New Roman (Body CS)"/>
        </w:rPr>
      </w:pPr>
    </w:p>
    <w:p w14:paraId="1AF60A14" w14:textId="41184DB3" w:rsidR="00B35429" w:rsidRDefault="00795B1D" w:rsidP="00051543">
      <w:pPr>
        <w:rPr>
          <w:rFonts w:ascii="Times New Roman" w:hAnsi="Times New Roman" w:cs="Times New Roman (Body CS)"/>
        </w:rPr>
      </w:pPr>
      <w:r w:rsidRPr="00795B1D">
        <w:rPr>
          <w:rFonts w:ascii="Times New Roman" w:hAnsi="Times New Roman" w:cs="Times New Roman (Body CS)"/>
        </w:rPr>
        <w:t>After cross-referencing prior outplant and reef-scale data,</w:t>
      </w:r>
      <w:r w:rsidR="0004234D" w:rsidRPr="00795B1D">
        <w:rPr>
          <w:rFonts w:ascii="Times New Roman" w:hAnsi="Times New Roman" w:cs="Times New Roman (Body CS)"/>
        </w:rPr>
        <w:t xml:space="preserve"> </w:t>
      </w:r>
      <w:r w:rsidR="00883B33" w:rsidRPr="00795B1D">
        <w:rPr>
          <w:rFonts w:ascii="Times New Roman" w:hAnsi="Times New Roman" w:cs="Times New Roman (Body CS)"/>
        </w:rPr>
        <w:t xml:space="preserve">six experimental </w:t>
      </w:r>
      <w:r w:rsidR="00FB00FB">
        <w:rPr>
          <w:rFonts w:ascii="Times New Roman" w:hAnsi="Times New Roman" w:cs="Times New Roman (Body CS)"/>
        </w:rPr>
        <w:t>plots</w:t>
      </w:r>
      <w:r w:rsidR="00883B33" w:rsidRPr="00795B1D">
        <w:rPr>
          <w:rFonts w:ascii="Times New Roman" w:hAnsi="Times New Roman" w:cs="Times New Roman (Body CS)"/>
        </w:rPr>
        <w:t xml:space="preserve"> were established across three separate </w:t>
      </w:r>
      <w:r w:rsidR="00FB00FB">
        <w:rPr>
          <w:rFonts w:ascii="Times New Roman" w:hAnsi="Times New Roman" w:cs="Times New Roman (Body CS)"/>
        </w:rPr>
        <w:t>sites</w:t>
      </w:r>
      <w:r w:rsidR="00883B33" w:rsidRPr="00795B1D">
        <w:rPr>
          <w:rFonts w:ascii="Times New Roman" w:hAnsi="Times New Roman" w:cs="Times New Roman (Body CS)"/>
        </w:rPr>
        <w:t xml:space="preserve"> (Figure 1).</w:t>
      </w:r>
      <w:r w:rsidRPr="00795B1D">
        <w:rPr>
          <w:rFonts w:ascii="Times New Roman" w:hAnsi="Times New Roman" w:cs="Times New Roman (Body CS)"/>
        </w:rPr>
        <w:t xml:space="preserve"> </w:t>
      </w:r>
      <w:r w:rsidR="00B35429">
        <w:rPr>
          <w:rFonts w:ascii="Times New Roman" w:hAnsi="Times New Roman" w:cs="Times New Roman (Body CS)"/>
        </w:rPr>
        <w:t>All sites are</w:t>
      </w:r>
      <w:r w:rsidR="00FB00FB">
        <w:rPr>
          <w:rFonts w:ascii="Times New Roman" w:hAnsi="Times New Roman" w:cs="Times New Roman (Body CS)"/>
        </w:rPr>
        <w:t xml:space="preserve"> similar in depth, bathymetry, and benthic structure, both within reefs and across reefs. </w:t>
      </w:r>
      <w:r w:rsidRPr="00795B1D">
        <w:rPr>
          <w:rFonts w:ascii="Times New Roman" w:hAnsi="Times New Roman" w:cs="Times New Roman (Body CS)"/>
        </w:rPr>
        <w:t>Following successful modifications to the photogrammetry protocols, i</w:t>
      </w:r>
      <w:r w:rsidR="00883B33" w:rsidRPr="00795B1D">
        <w:rPr>
          <w:rFonts w:ascii="Times New Roman" w:hAnsi="Times New Roman" w:cs="Times New Roman (Body CS)"/>
        </w:rPr>
        <w:t xml:space="preserve">mages were captured pre-restoration for downstream 3D </w:t>
      </w:r>
      <w:r w:rsidR="00F27E4A">
        <w:rPr>
          <w:rFonts w:ascii="Times New Roman" w:hAnsi="Times New Roman" w:cs="Times New Roman (Body CS)"/>
        </w:rPr>
        <w:t>ecological</w:t>
      </w:r>
      <w:r w:rsidR="00883B33" w:rsidRPr="00795B1D">
        <w:rPr>
          <w:rFonts w:ascii="Times New Roman" w:hAnsi="Times New Roman" w:cs="Times New Roman (Body CS)"/>
        </w:rPr>
        <w:t xml:space="preserve"> analysis</w:t>
      </w:r>
      <w:r w:rsidR="004F6DE6" w:rsidRPr="00795B1D">
        <w:rPr>
          <w:rFonts w:ascii="Times New Roman" w:hAnsi="Times New Roman" w:cs="Times New Roman (Body CS)"/>
        </w:rPr>
        <w:t>. All sites (n=6) have been rendered and 3D dense point clouds</w:t>
      </w:r>
      <w:r w:rsidR="008D26D7" w:rsidRPr="00795B1D">
        <w:rPr>
          <w:rFonts w:ascii="Times New Roman" w:hAnsi="Times New Roman" w:cs="Times New Roman (Body CS)"/>
        </w:rPr>
        <w:t xml:space="preserve"> (Figure 2)</w:t>
      </w:r>
      <w:r w:rsidR="004F6DE6" w:rsidRPr="00795B1D">
        <w:rPr>
          <w:rFonts w:ascii="Times New Roman" w:hAnsi="Times New Roman" w:cs="Times New Roman (Body CS)"/>
        </w:rPr>
        <w:t xml:space="preserve"> have been produced for further analysis using the custom visual analysis software </w:t>
      </w:r>
      <w:proofErr w:type="spellStart"/>
      <w:r w:rsidR="004F6DE6" w:rsidRPr="00795B1D">
        <w:rPr>
          <w:rFonts w:ascii="Times New Roman" w:hAnsi="Times New Roman" w:cs="Times New Roman (Body CS)"/>
        </w:rPr>
        <w:t>Viscore</w:t>
      </w:r>
      <w:proofErr w:type="spellEnd"/>
      <w:r w:rsidR="008D26D7" w:rsidRPr="00795B1D">
        <w:rPr>
          <w:rFonts w:ascii="Times New Roman" w:hAnsi="Times New Roman" w:cs="Times New Roman (Body CS)"/>
        </w:rPr>
        <w:t xml:space="preserve"> (variables 1-3</w:t>
      </w:r>
      <w:r w:rsidR="00B35429">
        <w:rPr>
          <w:rFonts w:ascii="Times New Roman" w:hAnsi="Times New Roman" w:cs="Times New Roman (Body CS)"/>
        </w:rPr>
        <w:t>, Petrovic et al. 2014</w:t>
      </w:r>
      <w:r w:rsidR="008D26D7" w:rsidRPr="00795B1D">
        <w:rPr>
          <w:rFonts w:ascii="Times New Roman" w:hAnsi="Times New Roman" w:cs="Times New Roman (Body CS)"/>
        </w:rPr>
        <w:t>)</w:t>
      </w:r>
      <w:r w:rsidR="004F6DE6" w:rsidRPr="00795B1D">
        <w:rPr>
          <w:rFonts w:ascii="Times New Roman" w:hAnsi="Times New Roman" w:cs="Times New Roman (Body CS)"/>
        </w:rPr>
        <w:t>.</w:t>
      </w:r>
      <w:r w:rsidR="00883B33" w:rsidRPr="00795B1D">
        <w:rPr>
          <w:rFonts w:ascii="Times New Roman" w:hAnsi="Times New Roman" w:cs="Times New Roman (Body CS)"/>
        </w:rPr>
        <w:t xml:space="preserve"> </w:t>
      </w:r>
      <w:r w:rsidR="00B35429">
        <w:rPr>
          <w:rFonts w:ascii="Times New Roman" w:hAnsi="Times New Roman" w:cs="Times New Roman (Body CS)"/>
        </w:rPr>
        <w:t>Twelve s</w:t>
      </w:r>
      <w:r w:rsidR="00883B33" w:rsidRPr="00795B1D">
        <w:rPr>
          <w:rFonts w:ascii="Times New Roman" w:hAnsi="Times New Roman" w:cs="Times New Roman (Body CS)"/>
        </w:rPr>
        <w:t>ettlement tiles (n=</w:t>
      </w:r>
      <w:r w:rsidR="00B35429">
        <w:rPr>
          <w:rFonts w:ascii="Times New Roman" w:hAnsi="Times New Roman" w:cs="Times New Roman (Body CS)"/>
        </w:rPr>
        <w:t>72</w:t>
      </w:r>
      <w:r w:rsidR="008D26D7" w:rsidRPr="00795B1D">
        <w:rPr>
          <w:rFonts w:ascii="Times New Roman" w:hAnsi="Times New Roman" w:cs="Times New Roman (Body CS)"/>
        </w:rPr>
        <w:t>, variable 5</w:t>
      </w:r>
      <w:r w:rsidR="00883B33" w:rsidRPr="00795B1D">
        <w:rPr>
          <w:rFonts w:ascii="Times New Roman" w:hAnsi="Times New Roman" w:cs="Times New Roman (Body CS)"/>
        </w:rPr>
        <w:t>) were deployed at each site pre-restoration and coinciding with the coral spawning window</w:t>
      </w:r>
      <w:r w:rsidR="004F6DE6" w:rsidRPr="00795B1D">
        <w:rPr>
          <w:rFonts w:ascii="Times New Roman" w:hAnsi="Times New Roman" w:cs="Times New Roman (Body CS)"/>
        </w:rPr>
        <w:t xml:space="preserve"> and will be collected in Q4.</w:t>
      </w:r>
      <w:r w:rsidR="008D26D7" w:rsidRPr="00795B1D">
        <w:rPr>
          <w:rFonts w:ascii="Times New Roman" w:hAnsi="Times New Roman" w:cs="Times New Roman (Body CS)"/>
        </w:rPr>
        <w:t xml:space="preserve"> Sea grass assays (variable 6) will occur in early Q4 prio</w:t>
      </w:r>
      <w:r w:rsidR="00113520" w:rsidRPr="00795B1D">
        <w:rPr>
          <w:rFonts w:ascii="Times New Roman" w:hAnsi="Times New Roman" w:cs="Times New Roman (Body CS)"/>
        </w:rPr>
        <w:t>r</w:t>
      </w:r>
      <w:r w:rsidR="008D26D7" w:rsidRPr="00795B1D">
        <w:rPr>
          <w:rFonts w:ascii="Times New Roman" w:hAnsi="Times New Roman" w:cs="Times New Roman (Body CS)"/>
        </w:rPr>
        <w:t xml:space="preserve"> to</w:t>
      </w:r>
      <w:r w:rsidR="004F6DE6" w:rsidRPr="00795B1D">
        <w:rPr>
          <w:rFonts w:ascii="Times New Roman" w:hAnsi="Times New Roman" w:cs="Times New Roman (Body CS)"/>
        </w:rPr>
        <w:t xml:space="preserve"> </w:t>
      </w:r>
      <w:r w:rsidR="008D26D7" w:rsidRPr="00795B1D">
        <w:rPr>
          <w:rFonts w:ascii="Times New Roman" w:hAnsi="Times New Roman" w:cs="Times New Roman (Body CS)"/>
        </w:rPr>
        <w:t>o</w:t>
      </w:r>
      <w:r w:rsidR="004F6DE6" w:rsidRPr="00795B1D">
        <w:rPr>
          <w:rFonts w:ascii="Times New Roman" w:hAnsi="Times New Roman" w:cs="Times New Roman (Body CS)"/>
        </w:rPr>
        <w:t>utplanting</w:t>
      </w:r>
      <w:r w:rsidR="008D26D7" w:rsidRPr="00795B1D">
        <w:rPr>
          <w:rFonts w:ascii="Times New Roman" w:hAnsi="Times New Roman" w:cs="Times New Roman (Body CS)"/>
        </w:rPr>
        <w:t xml:space="preserve">. </w:t>
      </w:r>
      <w:r w:rsidRPr="00795B1D">
        <w:rPr>
          <w:rFonts w:ascii="Times New Roman" w:hAnsi="Times New Roman" w:cs="Times New Roman (Body CS)"/>
        </w:rPr>
        <w:t xml:space="preserve">Outplanting will occur in early Q4. </w:t>
      </w:r>
      <w:r w:rsidR="008D26D7" w:rsidRPr="00795B1D">
        <w:rPr>
          <w:rFonts w:ascii="Times New Roman" w:hAnsi="Times New Roman" w:cs="Times New Roman (Body CS)"/>
        </w:rPr>
        <w:t>Immediately after outplanting, linear video transects will be conducted to assess</w:t>
      </w:r>
      <w:r w:rsidR="00B35429">
        <w:rPr>
          <w:rFonts w:ascii="Times New Roman" w:hAnsi="Times New Roman" w:cs="Times New Roman (Body CS)"/>
        </w:rPr>
        <w:t xml:space="preserve"> </w:t>
      </w:r>
      <w:r w:rsidR="008D26D7" w:rsidRPr="00795B1D">
        <w:rPr>
          <w:rFonts w:ascii="Times New Roman" w:hAnsi="Times New Roman" w:cs="Times New Roman (Body CS)"/>
        </w:rPr>
        <w:t xml:space="preserve">baseline fish communities (variable 4). </w:t>
      </w:r>
    </w:p>
    <w:p w14:paraId="07E03373" w14:textId="0C0E842E" w:rsidR="00051543" w:rsidRDefault="00795B1D" w:rsidP="00051543">
      <w:pPr>
        <w:rPr>
          <w:rFonts w:ascii="Times New Roman" w:hAnsi="Times New Roman" w:cs="Times New Roman (Body CS)"/>
        </w:rPr>
      </w:pPr>
      <w:r w:rsidRPr="00795B1D">
        <w:rPr>
          <w:rFonts w:ascii="Times New Roman" w:hAnsi="Times New Roman" w:cs="Times New Roman (Body CS)"/>
          <w:noProof/>
        </w:rPr>
        <w:lastRenderedPageBreak/>
        <w:drawing>
          <wp:inline distT="0" distB="0" distL="0" distR="0" wp14:anchorId="6867028A" wp14:editId="1171EEAB">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F1982D" w14:textId="3C655B6A" w:rsidR="00B35429" w:rsidRPr="00795B1D" w:rsidRDefault="00B35429" w:rsidP="00051543">
      <w:pPr>
        <w:rPr>
          <w:rFonts w:ascii="Times New Roman" w:hAnsi="Times New Roman" w:cs="Times New Roman (Body CS)"/>
        </w:rPr>
      </w:pPr>
      <w:r>
        <w:rPr>
          <w:rFonts w:ascii="Times New Roman" w:hAnsi="Times New Roman" w:cs="Times New Roman (Body CS)"/>
        </w:rPr>
        <w:t xml:space="preserve">Figure 1. Map of experimental sites. Each </w:t>
      </w:r>
      <w:r w:rsidR="00FB00FB">
        <w:rPr>
          <w:rFonts w:ascii="Times New Roman" w:hAnsi="Times New Roman" w:cs="Times New Roman (Body CS)"/>
        </w:rPr>
        <w:t>s</w:t>
      </w:r>
      <w:r>
        <w:rPr>
          <w:rFonts w:ascii="Times New Roman" w:hAnsi="Times New Roman" w:cs="Times New Roman (Body CS)"/>
        </w:rPr>
        <w:t xml:space="preserve">ite consists of </w:t>
      </w:r>
      <w:r w:rsidR="00FB00FB">
        <w:rPr>
          <w:rFonts w:ascii="Times New Roman" w:hAnsi="Times New Roman" w:cs="Times New Roman (Body CS)"/>
        </w:rPr>
        <w:t xml:space="preserve">paired </w:t>
      </w:r>
      <w:r>
        <w:rPr>
          <w:rFonts w:ascii="Times New Roman" w:hAnsi="Times New Roman" w:cs="Times New Roman (Body CS)"/>
        </w:rPr>
        <w:t>10m x 10m plot</w:t>
      </w:r>
      <w:r w:rsidR="00FB00FB">
        <w:rPr>
          <w:rFonts w:ascii="Times New Roman" w:hAnsi="Times New Roman" w:cs="Times New Roman (Body CS)"/>
        </w:rPr>
        <w:t>s</w:t>
      </w:r>
      <w:r>
        <w:rPr>
          <w:rFonts w:ascii="Times New Roman" w:hAnsi="Times New Roman" w:cs="Times New Roman (Body CS)"/>
        </w:rPr>
        <w:t xml:space="preserve"> </w:t>
      </w:r>
      <w:r w:rsidR="00FB00FB">
        <w:rPr>
          <w:rFonts w:ascii="Times New Roman" w:hAnsi="Times New Roman" w:cs="Times New Roman (Body CS)"/>
        </w:rPr>
        <w:t xml:space="preserve">separated by roughly 100m. Plots are similar in depth, bathymetry, and benthic structure both among and across reefs. </w:t>
      </w:r>
    </w:p>
    <w:p w14:paraId="453663E7" w14:textId="05810E31" w:rsidR="00795B1D" w:rsidRDefault="00795B1D" w:rsidP="00795B1D">
      <w:pPr>
        <w:jc w:val="center"/>
        <w:rPr>
          <w:rFonts w:ascii="Times New Roman" w:hAnsi="Times New Roman" w:cs="Times New Roman (Body CS)"/>
        </w:rPr>
      </w:pPr>
      <w:r w:rsidRPr="00795B1D">
        <w:rPr>
          <w:rFonts w:ascii="Times New Roman" w:hAnsi="Times New Roman" w:cs="Times New Roman (Body CS)"/>
          <w:noProof/>
        </w:rPr>
        <w:lastRenderedPageBreak/>
        <w:drawing>
          <wp:inline distT="0" distB="0" distL="0" distR="0" wp14:anchorId="1A06879D" wp14:editId="188A0584">
            <wp:extent cx="3561347" cy="3219384"/>
            <wp:effectExtent l="0" t="0" r="0" b="0"/>
            <wp:docPr id="2" name="Picture 2" descr="A picture containing cake, piece, slic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ke, piece, slice, sitting&#10;&#10;Description automatically generated"/>
                    <pic:cNvPicPr/>
                  </pic:nvPicPr>
                  <pic:blipFill rotWithShape="1">
                    <a:blip r:embed="rId5" cstate="print">
                      <a:extLst>
                        <a:ext uri="{28A0092B-C50C-407E-A947-70E740481C1C}">
                          <a14:useLocalDpi xmlns:a14="http://schemas.microsoft.com/office/drawing/2010/main" val="0"/>
                        </a:ext>
                      </a:extLst>
                    </a:blip>
                    <a:srcRect l="18299" r="21780"/>
                    <a:stretch/>
                  </pic:blipFill>
                  <pic:spPr bwMode="auto">
                    <a:xfrm>
                      <a:off x="0" y="0"/>
                      <a:ext cx="3561420" cy="3219450"/>
                    </a:xfrm>
                    <a:prstGeom prst="rect">
                      <a:avLst/>
                    </a:prstGeom>
                    <a:ln>
                      <a:noFill/>
                    </a:ln>
                    <a:extLst>
                      <a:ext uri="{53640926-AAD7-44D8-BBD7-CCE9431645EC}">
                        <a14:shadowObscured xmlns:a14="http://schemas.microsoft.com/office/drawing/2010/main"/>
                      </a:ext>
                    </a:extLst>
                  </pic:spPr>
                </pic:pic>
              </a:graphicData>
            </a:graphic>
          </wp:inline>
        </w:drawing>
      </w:r>
    </w:p>
    <w:p w14:paraId="430A3309" w14:textId="7954B3D0" w:rsidR="00B35429" w:rsidRDefault="00B35429" w:rsidP="00795B1D">
      <w:pPr>
        <w:jc w:val="center"/>
        <w:rPr>
          <w:rFonts w:ascii="Times New Roman" w:hAnsi="Times New Roman" w:cs="Times New Roman (Body CS)"/>
        </w:rPr>
      </w:pPr>
    </w:p>
    <w:p w14:paraId="59C64E94" w14:textId="61E1BC46" w:rsidR="00FB00FB" w:rsidRDefault="00FB00FB" w:rsidP="00B35429">
      <w:pPr>
        <w:rPr>
          <w:rFonts w:ascii="Times New Roman" w:hAnsi="Times New Roman" w:cs="Times New Roman (Body CS)"/>
        </w:rPr>
      </w:pPr>
      <w:r>
        <w:rPr>
          <w:rFonts w:ascii="Times New Roman" w:hAnsi="Times New Roman" w:cs="Times New Roman (Body CS)"/>
        </w:rPr>
        <w:t xml:space="preserve">Figure 2. Example of a fully rendered 3D dense point cloud to be used in downstream analysis. </w:t>
      </w:r>
    </w:p>
    <w:p w14:paraId="302DF81C" w14:textId="77777777" w:rsidR="00FB00FB" w:rsidRDefault="00FB00FB" w:rsidP="00B35429">
      <w:pPr>
        <w:rPr>
          <w:rFonts w:ascii="Times New Roman" w:hAnsi="Times New Roman" w:cs="Times New Roman (Body CS)"/>
        </w:rPr>
      </w:pPr>
    </w:p>
    <w:p w14:paraId="4233CFE9" w14:textId="77777777" w:rsidR="00FB00FB" w:rsidRDefault="00FB00FB" w:rsidP="00B35429">
      <w:pPr>
        <w:rPr>
          <w:rFonts w:ascii="Times New Roman" w:hAnsi="Times New Roman" w:cs="Times New Roman (Body CS)"/>
        </w:rPr>
      </w:pPr>
    </w:p>
    <w:p w14:paraId="418320B5" w14:textId="6E941699" w:rsidR="00B35429" w:rsidRDefault="00B35429" w:rsidP="00B35429">
      <w:pPr>
        <w:rPr>
          <w:rFonts w:ascii="Times New Roman" w:hAnsi="Times New Roman" w:cs="Times New Roman (Body CS)"/>
        </w:rPr>
      </w:pPr>
      <w:r>
        <w:rPr>
          <w:rFonts w:ascii="Times New Roman" w:hAnsi="Times New Roman" w:cs="Times New Roman (Body CS)"/>
        </w:rPr>
        <w:t>References:</w:t>
      </w:r>
    </w:p>
    <w:p w14:paraId="51D7B869" w14:textId="5BCA637E" w:rsidR="00B35429" w:rsidRDefault="00B35429" w:rsidP="00B35429">
      <w:pPr>
        <w:rPr>
          <w:rFonts w:ascii="Times New Roman" w:hAnsi="Times New Roman" w:cs="Times New Roman (Body CS)"/>
        </w:rPr>
      </w:pPr>
    </w:p>
    <w:p w14:paraId="10E83474" w14:textId="77777777" w:rsidR="00B35429" w:rsidRPr="00B35429" w:rsidRDefault="00B35429" w:rsidP="00B35429">
      <w:pPr>
        <w:ind w:left="720" w:hanging="720"/>
        <w:rPr>
          <w:rFonts w:ascii="Times New Roman" w:hAnsi="Times New Roman" w:cs="Times New Roman (Body CS)"/>
        </w:rPr>
      </w:pPr>
      <w:r w:rsidRPr="00B35429">
        <w:rPr>
          <w:rFonts w:ascii="Times New Roman" w:hAnsi="Times New Roman" w:cs="Times New Roman (Body CS)"/>
        </w:rPr>
        <w:t xml:space="preserve">Petrovic, V., </w:t>
      </w:r>
      <w:proofErr w:type="spellStart"/>
      <w:r w:rsidRPr="00B35429">
        <w:rPr>
          <w:rFonts w:ascii="Times New Roman" w:hAnsi="Times New Roman" w:cs="Times New Roman (Body CS)"/>
        </w:rPr>
        <w:t>Vanoni</w:t>
      </w:r>
      <w:proofErr w:type="spellEnd"/>
      <w:r w:rsidRPr="00B35429">
        <w:rPr>
          <w:rFonts w:ascii="Times New Roman" w:hAnsi="Times New Roman" w:cs="Times New Roman (Body CS)"/>
        </w:rPr>
        <w:t xml:space="preserve">, D. J., Richter, A. M., Levy, T. E., &amp; Kuester, F. (2014). Visualizing high </w:t>
      </w:r>
    </w:p>
    <w:p w14:paraId="5595BB7E" w14:textId="78D8B7DF" w:rsidR="00B35429" w:rsidRPr="00B35429" w:rsidRDefault="00B35429" w:rsidP="00B35429">
      <w:pPr>
        <w:ind w:left="720"/>
        <w:rPr>
          <w:rFonts w:ascii="Times New Roman" w:hAnsi="Times New Roman" w:cs="Times New Roman (Body CS)"/>
        </w:rPr>
      </w:pPr>
      <w:r w:rsidRPr="00B35429">
        <w:rPr>
          <w:rFonts w:ascii="Times New Roman" w:hAnsi="Times New Roman" w:cs="Times New Roman (Body CS)"/>
        </w:rPr>
        <w:t>resolution three- dimensional and two-dimensional data of cultural heritage sites. Mediterranean Archaeology and Archaeometry, 14(4), 93–100.</w:t>
      </w:r>
    </w:p>
    <w:p w14:paraId="7E57C052" w14:textId="77777777" w:rsidR="00B35429" w:rsidRPr="00795B1D" w:rsidRDefault="00B35429" w:rsidP="00B35429">
      <w:pPr>
        <w:ind w:left="720" w:hanging="720"/>
        <w:rPr>
          <w:rFonts w:ascii="Times New Roman" w:hAnsi="Times New Roman" w:cs="Times New Roman (Body CS)"/>
        </w:rPr>
      </w:pPr>
    </w:p>
    <w:sectPr w:rsidR="00B35429" w:rsidRPr="00795B1D" w:rsidSect="00332A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New Roman (Body CS)">
    <w:panose1 w:val="020206030504050203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543"/>
    <w:rsid w:val="0004234D"/>
    <w:rsid w:val="00051543"/>
    <w:rsid w:val="000779B7"/>
    <w:rsid w:val="00113520"/>
    <w:rsid w:val="00332A76"/>
    <w:rsid w:val="003D5C3F"/>
    <w:rsid w:val="004F6DE6"/>
    <w:rsid w:val="00762BC9"/>
    <w:rsid w:val="00795B1D"/>
    <w:rsid w:val="00883B33"/>
    <w:rsid w:val="008D26D7"/>
    <w:rsid w:val="00995ACF"/>
    <w:rsid w:val="00AC69AC"/>
    <w:rsid w:val="00B35429"/>
    <w:rsid w:val="00B37D76"/>
    <w:rsid w:val="00BF5623"/>
    <w:rsid w:val="00CE5C65"/>
    <w:rsid w:val="00E558B0"/>
    <w:rsid w:val="00EB47A2"/>
    <w:rsid w:val="00F27E4A"/>
    <w:rsid w:val="00FB0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E357E3"/>
  <w15:chartTrackingRefBased/>
  <w15:docId w15:val="{0778FB4A-4123-B64E-8A4D-B8D211454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rsid w:val="00EB47A2"/>
    <w:pPr>
      <w:keepNext/>
      <w:keepLines/>
      <w:spacing w:before="360" w:after="80"/>
      <w:outlineLvl w:val="1"/>
    </w:pPr>
    <w:rPr>
      <w:rFonts w:ascii="Times New Roman" w:eastAsia="Calibri" w:hAnsi="Times New Roman" w:cs="Calibri"/>
      <w:b/>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EB47A2"/>
    <w:rPr>
      <w:rFonts w:ascii="Times New Roman" w:eastAsia="Calibri" w:hAnsi="Times New Roman" w:cs="Calibri"/>
      <w:b/>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649879">
      <w:bodyDiv w:val="1"/>
      <w:marLeft w:val="0"/>
      <w:marRight w:val="0"/>
      <w:marTop w:val="0"/>
      <w:marBottom w:val="0"/>
      <w:divBdr>
        <w:top w:val="none" w:sz="0" w:space="0" w:color="auto"/>
        <w:left w:val="none" w:sz="0" w:space="0" w:color="auto"/>
        <w:bottom w:val="none" w:sz="0" w:space="0" w:color="auto"/>
        <w:right w:val="none" w:sz="0" w:space="0" w:color="auto"/>
      </w:divBdr>
      <w:divsChild>
        <w:div w:id="1080366123">
          <w:marLeft w:val="0"/>
          <w:marRight w:val="0"/>
          <w:marTop w:val="0"/>
          <w:marBottom w:val="0"/>
          <w:divBdr>
            <w:top w:val="none" w:sz="0" w:space="0" w:color="auto"/>
            <w:left w:val="none" w:sz="0" w:space="0" w:color="auto"/>
            <w:bottom w:val="none" w:sz="0" w:space="0" w:color="auto"/>
            <w:right w:val="none" w:sz="0" w:space="0" w:color="auto"/>
          </w:divBdr>
        </w:div>
        <w:div w:id="1137913226">
          <w:marLeft w:val="0"/>
          <w:marRight w:val="0"/>
          <w:marTop w:val="0"/>
          <w:marBottom w:val="0"/>
          <w:divBdr>
            <w:top w:val="none" w:sz="0" w:space="0" w:color="auto"/>
            <w:left w:val="none" w:sz="0" w:space="0" w:color="auto"/>
            <w:bottom w:val="none" w:sz="0" w:space="0" w:color="auto"/>
            <w:right w:val="none" w:sz="0" w:space="0" w:color="auto"/>
          </w:divBdr>
        </w:div>
        <w:div w:id="727343864">
          <w:marLeft w:val="0"/>
          <w:marRight w:val="0"/>
          <w:marTop w:val="0"/>
          <w:marBottom w:val="0"/>
          <w:divBdr>
            <w:top w:val="none" w:sz="0" w:space="0" w:color="auto"/>
            <w:left w:val="none" w:sz="0" w:space="0" w:color="auto"/>
            <w:bottom w:val="none" w:sz="0" w:space="0" w:color="auto"/>
            <w:right w:val="none" w:sz="0" w:space="0" w:color="auto"/>
          </w:divBdr>
        </w:div>
        <w:div w:id="1974096752">
          <w:marLeft w:val="0"/>
          <w:marRight w:val="0"/>
          <w:marTop w:val="0"/>
          <w:marBottom w:val="0"/>
          <w:divBdr>
            <w:top w:val="none" w:sz="0" w:space="0" w:color="auto"/>
            <w:left w:val="none" w:sz="0" w:space="0" w:color="auto"/>
            <w:bottom w:val="none" w:sz="0" w:space="0" w:color="auto"/>
            <w:right w:val="none" w:sz="0" w:space="0" w:color="auto"/>
          </w:divBdr>
        </w:div>
        <w:div w:id="245916716">
          <w:marLeft w:val="0"/>
          <w:marRight w:val="0"/>
          <w:marTop w:val="0"/>
          <w:marBottom w:val="0"/>
          <w:divBdr>
            <w:top w:val="none" w:sz="0" w:space="0" w:color="auto"/>
            <w:left w:val="none" w:sz="0" w:space="0" w:color="auto"/>
            <w:bottom w:val="none" w:sz="0" w:space="0" w:color="auto"/>
            <w:right w:val="none" w:sz="0" w:space="0" w:color="auto"/>
          </w:divBdr>
        </w:div>
        <w:div w:id="385420729">
          <w:marLeft w:val="0"/>
          <w:marRight w:val="0"/>
          <w:marTop w:val="0"/>
          <w:marBottom w:val="0"/>
          <w:divBdr>
            <w:top w:val="none" w:sz="0" w:space="0" w:color="auto"/>
            <w:left w:val="none" w:sz="0" w:space="0" w:color="auto"/>
            <w:bottom w:val="none" w:sz="0" w:space="0" w:color="auto"/>
            <w:right w:val="none" w:sz="0" w:space="0" w:color="auto"/>
          </w:divBdr>
        </w:div>
      </w:divsChild>
    </w:div>
    <w:div w:id="929896643">
      <w:bodyDiv w:val="1"/>
      <w:marLeft w:val="0"/>
      <w:marRight w:val="0"/>
      <w:marTop w:val="0"/>
      <w:marBottom w:val="0"/>
      <w:divBdr>
        <w:top w:val="none" w:sz="0" w:space="0" w:color="auto"/>
        <w:left w:val="none" w:sz="0" w:space="0" w:color="auto"/>
        <w:bottom w:val="none" w:sz="0" w:space="0" w:color="auto"/>
        <w:right w:val="none" w:sz="0" w:space="0" w:color="auto"/>
      </w:divBdr>
      <w:divsChild>
        <w:div w:id="1006513595">
          <w:marLeft w:val="0"/>
          <w:marRight w:val="0"/>
          <w:marTop w:val="0"/>
          <w:marBottom w:val="0"/>
          <w:divBdr>
            <w:top w:val="none" w:sz="0" w:space="0" w:color="auto"/>
            <w:left w:val="none" w:sz="0" w:space="0" w:color="auto"/>
            <w:bottom w:val="none" w:sz="0" w:space="0" w:color="auto"/>
            <w:right w:val="none" w:sz="0" w:space="0" w:color="auto"/>
          </w:divBdr>
        </w:div>
        <w:div w:id="1771117464">
          <w:marLeft w:val="0"/>
          <w:marRight w:val="0"/>
          <w:marTop w:val="0"/>
          <w:marBottom w:val="0"/>
          <w:divBdr>
            <w:top w:val="none" w:sz="0" w:space="0" w:color="auto"/>
            <w:left w:val="none" w:sz="0" w:space="0" w:color="auto"/>
            <w:bottom w:val="none" w:sz="0" w:space="0" w:color="auto"/>
            <w:right w:val="none" w:sz="0" w:space="0" w:color="auto"/>
          </w:divBdr>
        </w:div>
        <w:div w:id="419496878">
          <w:marLeft w:val="0"/>
          <w:marRight w:val="0"/>
          <w:marTop w:val="0"/>
          <w:marBottom w:val="0"/>
          <w:divBdr>
            <w:top w:val="none" w:sz="0" w:space="0" w:color="auto"/>
            <w:left w:val="none" w:sz="0" w:space="0" w:color="auto"/>
            <w:bottom w:val="none" w:sz="0" w:space="0" w:color="auto"/>
            <w:right w:val="none" w:sz="0" w:space="0" w:color="auto"/>
          </w:divBdr>
        </w:div>
        <w:div w:id="572667895">
          <w:marLeft w:val="0"/>
          <w:marRight w:val="0"/>
          <w:marTop w:val="0"/>
          <w:marBottom w:val="0"/>
          <w:divBdr>
            <w:top w:val="none" w:sz="0" w:space="0" w:color="auto"/>
            <w:left w:val="none" w:sz="0" w:space="0" w:color="auto"/>
            <w:bottom w:val="none" w:sz="0" w:space="0" w:color="auto"/>
            <w:right w:val="none" w:sz="0" w:space="0" w:color="auto"/>
          </w:divBdr>
        </w:div>
        <w:div w:id="399598844">
          <w:marLeft w:val="0"/>
          <w:marRight w:val="0"/>
          <w:marTop w:val="0"/>
          <w:marBottom w:val="0"/>
          <w:divBdr>
            <w:top w:val="none" w:sz="0" w:space="0" w:color="auto"/>
            <w:left w:val="none" w:sz="0" w:space="0" w:color="auto"/>
            <w:bottom w:val="none" w:sz="0" w:space="0" w:color="auto"/>
            <w:right w:val="none" w:sz="0" w:space="0" w:color="auto"/>
          </w:divBdr>
        </w:div>
        <w:div w:id="12403360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365</Words>
  <Characters>2083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Combs</dc:creator>
  <cp:keywords/>
  <dc:description/>
  <cp:lastModifiedBy>Ian Combs</cp:lastModifiedBy>
  <cp:revision>2</cp:revision>
  <dcterms:created xsi:type="dcterms:W3CDTF">2020-10-13T18:43:00Z</dcterms:created>
  <dcterms:modified xsi:type="dcterms:W3CDTF">2020-10-13T18:43:00Z</dcterms:modified>
</cp:coreProperties>
</file>