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center"/>
      </w:pPr>
      <w:r>
        <w:rPr>
          <w:rFonts w:ascii="Arial" w:cs="Arial" w:eastAsia="Arial" w:hAnsi="Arial"/>
          <w:b/>
          <w:bCs/>
          <w:color w:val="1B2A4A"/>
          <w:sz w:val="52"/>
          <w:szCs w:val="52"/>
        </w:rPr>
        <w:t xml:space="preserve">CORE FEATURES</w:t>
      </w:r>
    </w:p>
    <w:p>
      <w:pPr>
        <w:spacing w:after="40"/>
        <w:jc w:val="center"/>
      </w:pPr>
      <w:r>
        <w:rPr>
          <w:rFonts w:ascii="Arial" w:cs="Arial" w:eastAsia="Arial" w:hAnsi="Arial"/>
          <w:color w:val="2E74B5"/>
          <w:sz w:val="36"/>
          <w:szCs w:val="36"/>
        </w:rPr>
        <w:t xml:space="preserve">IMPLEMENTATION SPECIFICATION</w:t>
      </w:r>
    </w:p>
    <w:p>
      <w:pPr>
        <w:spacing w:after="200"/>
        <w:jc w:val="center"/>
      </w:pPr>
      <w:r>
        <w:rPr>
          <w:rFonts w:ascii="Arial" w:cs="Arial" w:eastAsia="Arial" w:hAnsi="Arial"/>
          <w:color w:val="555555"/>
          <w:sz w:val="24"/>
          <w:szCs w:val="24"/>
        </w:rPr>
        <w:t xml:space="preserve">Quantum Hybrid Portfolio Optimization System</w:t>
      </w:r>
    </w:p>
    <w:p>
      <w:pPr>
        <w:pBdr>
          <w:bottom w:val="single" w:color="DDDDDD" w:sz="1"/>
        </w:pBdr>
        <w:spacing w:before="200" w:after="200"/>
      </w:pPr>
    </w:p>
    <w:p>
      <w:pPr>
        <w:spacing w:after="80"/>
        <w:jc w:val="center"/>
      </w:pPr>
      <w:r>
        <w:rPr>
          <w:rFonts w:ascii="Arial" w:cs="Arial" w:eastAsia="Arial" w:hAnsi="Arial"/>
          <w:color w:val="555555"/>
          <w:sz w:val="20"/>
          <w:szCs w:val="20"/>
        </w:rPr>
        <w:t xml:space="preserve">17 features across 5 modules  |  20-week implementation timeline</w:t>
      </w:r>
    </w:p>
    <w:p>
      <w:pPr>
        <w:spacing w:after="80"/>
        <w:jc w:val="center"/>
      </w:pPr>
      <w:r>
        <w:rPr>
          <w:rFonts w:ascii="Arial" w:cs="Arial" w:eastAsia="Arial" w:hAnsi="Arial"/>
          <w:color w:val="555555"/>
          <w:sz w:val="20"/>
          <w:szCs w:val="20"/>
        </w:rPr>
        <w:t xml:space="preserve">Priority:  </w:t>
      </w:r>
      <w:r>
        <w:rPr>
          <w:rFonts w:ascii="Arial" w:cs="Arial" w:eastAsia="Arial" w:hAnsi="Arial"/>
          <w:b/>
          <w:bCs/>
          <w:color w:val="C0392B"/>
          <w:sz w:val="20"/>
          <w:szCs w:val="20"/>
        </w:rPr>
        <w:t xml:space="preserve">P0 = Critical (fix first)  </w:t>
      </w:r>
      <w:r>
        <w:rPr>
          <w:rFonts w:ascii="Arial" w:cs="Arial" w:eastAsia="Arial" w:hAnsi="Arial"/>
          <w:b/>
          <w:bCs/>
          <w:color w:val="E67E22"/>
          <w:sz w:val="20"/>
          <w:szCs w:val="20"/>
        </w:rPr>
        <w:t xml:space="preserve">P1 = High (enables production)  </w:t>
      </w:r>
      <w:r>
        <w:rPr>
          <w:rFonts w:ascii="Arial" w:cs="Arial" w:eastAsia="Arial" w:hAnsi="Arial"/>
          <w:b/>
          <w:bCs/>
          <w:color w:val="2E74B5"/>
          <w:sz w:val="20"/>
          <w:szCs w:val="20"/>
        </w:rPr>
        <w:t xml:space="preserve">P2 = Standard (full feature set)</w:t>
      </w:r>
    </w:p>
    <w:p>
      <w:pPr>
        <w:spacing w:after="600"/>
        <w:jc w:val="center"/>
      </w:pPr>
      <w:r>
        <w:rPr>
          <w:rFonts w:ascii="Arial" w:cs="Arial" w:eastAsia="Arial" w:hAnsi="Arial"/>
          <w:color w:val="999999"/>
          <w:sz w:val="20"/>
          <w:szCs w:val="20"/>
        </w:rPr>
        <w:t xml:space="preserve">February 2026</w:t>
      </w:r>
    </w:p>
    <w:p>
      <w:r>
        <w:br w:type="page"/>
      </w:r>
    </w:p>
    <w:p>
      <w:pPr>
        <w:pStyle w:val="Heading1"/>
        <w:spacing w:before="400" w:after="200"/>
      </w:pPr>
      <w:r>
        <w:rPr>
          <w:rFonts w:ascii="Arial" w:cs="Arial" w:eastAsia="Arial" w:hAnsi="Arial"/>
          <w:b/>
          <w:bCs/>
          <w:color w:val="1B2A4A"/>
          <w:sz w:val="34"/>
          <w:szCs w:val="34"/>
        </w:rPr>
        <w:t xml:space="preserve">Module 1: Optimizer Core Fixes</w:t>
      </w:r>
    </w:p>
    <w:p>
      <w:pPr>
        <w:spacing w:after="120"/>
      </w:pPr>
      <w:r>
        <w:rPr>
          <w:rFonts w:ascii="Arial" w:cs="Arial" w:eastAsia="Arial" w:hAnsi="Arial"/>
          <w:color w:val="333333"/>
          <w:sz w:val="22"/>
          <w:szCs w:val="22"/>
        </w:rPr>
        <w:t xml:space="preserve">The optimizer currently underperforms classical Markowitz by approximately 34%. These P0 features directly address the root causes. Nothing else in the system matters until the optimizer produces competitive risk-adjusted returns.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DEDEC" w:val="clear"/>
          </w:tcPr>
          <w:p>
            <w:r>
              <w:rPr>
                <w:rFonts w:ascii="Arial" w:cs="Arial" w:eastAsia="Arial" w:hAnsi="Arial"/>
                <w:b/>
                <w:bCs/>
                <w:color w:val="C0392B"/>
                <w:sz w:val="22"/>
                <w:szCs w:val="22"/>
              </w:rPr>
              <w:t xml:space="preserve">[P0] </w:t>
            </w:r>
            <w:r>
              <w:rPr>
                <w:rFonts w:ascii="Arial" w:cs="Arial" w:eastAsia="Arial" w:hAnsi="Arial"/>
                <w:b/>
                <w:bCs/>
                <w:color w:val="222222"/>
                <w:sz w:val="24"/>
                <w:szCs w:val="24"/>
              </w:rPr>
              <w:t xml:space="preserve">1.1  Covariance Shrinkage Estimator</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Replace raw sample covariance with Ledoit-Wolf shrinkage estimation. Sample covariance matrices are notoriously noisy for portfolio optimization (estimation error can be 70% of true values). Shrinkage pulls extreme eigenvalues toward a structured target, dramatically improving out-of-sample portfolio stability. Implement both Ledoit-Wolf (linear shrinkage toward scaled identity) and Oracle Approximating Shrinkage (OAS). Add optional Marchenko-Pastur denoising via Random Matrix Theory for large universes.</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core/estimators/covariance.py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scipy, sklearn.covariance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DEDEC" w:val="clear"/>
          </w:tcPr>
          <w:p>
            <w:r>
              <w:rPr>
                <w:rFonts w:ascii="Arial" w:cs="Arial" w:eastAsia="Arial" w:hAnsi="Arial"/>
                <w:b/>
                <w:bCs/>
                <w:color w:val="C0392B"/>
                <w:sz w:val="22"/>
                <w:szCs w:val="22"/>
              </w:rPr>
              <w:t xml:space="preserve">[P0] </w:t>
            </w:r>
            <w:r>
              <w:rPr>
                <w:rFonts w:ascii="Arial" w:cs="Arial" w:eastAsia="Arial" w:hAnsi="Arial"/>
                <w:b/>
                <w:bCs/>
                <w:color w:val="222222"/>
                <w:sz w:val="24"/>
                <w:szCs w:val="24"/>
              </w:rPr>
              <w:t xml:space="preserve">1.2  Hamiltonian Redesign</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Redesign the quantum Hamiltonian to use Sharpe-ratio-weighted node potentials instead of raw returns. Current implementation uses V[i,i] = return_potential which ignores risk entirely. New design: V[i,i] = return_i / risk_i (asset-level Sharpe). Additionally, introduce off-diagonal coupling terms that encode diversification benefit: H_ij = -correlation_ij * sqrt(sharpe_i * sharpe_j). This gives the quantum walk a Hamiltonian that naturally flows probability toward high-Sharpe, low-correlation portfolios.</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core/quantum_inspired/evolution_dynamics.py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Modifies _construct_hamiltonian method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DEDEC" w:val="clear"/>
          </w:tcPr>
          <w:p>
            <w:r>
              <w:rPr>
                <w:rFonts w:ascii="Arial" w:cs="Arial" w:eastAsia="Arial" w:hAnsi="Arial"/>
                <w:b/>
                <w:bCs/>
                <w:color w:val="C0392B"/>
                <w:sz w:val="22"/>
                <w:szCs w:val="22"/>
              </w:rPr>
              <w:t xml:space="preserve">[P0] </w:t>
            </w:r>
            <w:r>
              <w:rPr>
                <w:rFonts w:ascii="Arial" w:cs="Arial" w:eastAsia="Arial" w:hAnsi="Arial"/>
                <w:b/>
                <w:bCs/>
                <w:color w:val="222222"/>
                <w:sz w:val="24"/>
                <w:szCs w:val="24"/>
              </w:rPr>
              <w:t xml:space="preserve">1.3  Regime Detection Engine</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Replace manual market_regime parameter with automated detection. Implement a Hidden Markov Model with 3-4 states (bull, bear, high-vol, normal) trained on rolling 60-day windows of market returns, volatility, and correlation dispersion. Output regime probabilities rather than hard labels, allowing the optimizer to blend regime-specific parameters proportionally. Fall back to rolling volatility Z-score classifier if HMM is unstable.</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core/regime/detector.py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hmmlearn, numpy, pandas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DEDEC" w:val="clear"/>
          </w:tcPr>
          <w:p>
            <w:r>
              <w:rPr>
                <w:rFonts w:ascii="Arial" w:cs="Arial" w:eastAsia="Arial" w:hAnsi="Arial"/>
                <w:b/>
                <w:bCs/>
                <w:color w:val="C0392B"/>
                <w:sz w:val="22"/>
                <w:szCs w:val="22"/>
              </w:rPr>
              <w:t xml:space="preserve">[P0] </w:t>
            </w:r>
            <w:r>
              <w:rPr>
                <w:rFonts w:ascii="Arial" w:cs="Arial" w:eastAsia="Arial" w:hAnsi="Arial"/>
                <w:b/>
                <w:bCs/>
                <w:color w:val="222222"/>
                <w:sz w:val="24"/>
                <w:szCs w:val="24"/>
              </w:rPr>
              <w:t xml:space="preserve">1.4  Extended Benchmark Suite</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Add four additional benchmarks beyond Markowitz mean-variance: (1) Equal-weight (1/N) portfolio, (2) Global Minimum Variance (min-vol, no return estimate needed), (3) Risk Parity (equal risk contribution per asset using Roncalli method), (4) Hierarchical Risk Parity (Lopez de Prado tree-based clustering). All benchmarks must use identical data, constraints, and evaluation windows for fair comparison. Report relative Sharpe, tracking error, and maximum drawdown vs. each baseline.</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core/benchmarks/classical.py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scipy.optimize, numpy, scikit-learn</w:t>
            </w:r>
          </w:p>
        </w:tc>
      </w:tr>
    </w:tbl>
    <w:p>
      <w:r>
        <w:br w:type="page"/>
      </w:r>
    </w:p>
    <w:p>
      <w:pPr>
        <w:pStyle w:val="Heading1"/>
        <w:spacing w:before="400" w:after="200"/>
      </w:pPr>
      <w:r>
        <w:rPr>
          <w:rFonts w:ascii="Arial" w:cs="Arial" w:eastAsia="Arial" w:hAnsi="Arial"/>
          <w:b/>
          <w:bCs/>
          <w:color w:val="1B2A4A"/>
          <w:sz w:val="34"/>
          <w:szCs w:val="34"/>
        </w:rPr>
        <w:t xml:space="preserve">Module 2: Backtesting Engine</w:t>
      </w:r>
    </w:p>
    <w:p>
      <w:pPr>
        <w:spacing w:after="120"/>
      </w:pPr>
      <w:r>
        <w:rPr>
          <w:rFonts w:ascii="Arial" w:cs="Arial" w:eastAsia="Arial" w:hAnsi="Arial"/>
          <w:color w:val="333333"/>
          <w:sz w:val="22"/>
          <w:szCs w:val="22"/>
        </w:rPr>
        <w:t xml:space="preserve">Without proper out-of-sample backtesting, all performance claims are speculative. This module provides the rigorous statistical framework required to validate (or invalidate) the QSW approach with institutional credibility.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DEDEC" w:val="clear"/>
          </w:tcPr>
          <w:p>
            <w:r>
              <w:rPr>
                <w:rFonts w:ascii="Arial" w:cs="Arial" w:eastAsia="Arial" w:hAnsi="Arial"/>
                <w:b/>
                <w:bCs/>
                <w:color w:val="C0392B"/>
                <w:sz w:val="22"/>
                <w:szCs w:val="22"/>
              </w:rPr>
              <w:t xml:space="preserve">[P0] </w:t>
            </w:r>
            <w:r>
              <w:rPr>
                <w:rFonts w:ascii="Arial" w:cs="Arial" w:eastAsia="Arial" w:hAnsi="Arial"/>
                <w:b/>
                <w:bCs/>
                <w:color w:val="222222"/>
                <w:sz w:val="24"/>
                <w:szCs w:val="24"/>
              </w:rPr>
              <w:t xml:space="preserve">2.1  Walk-Forward Backtester</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Implement rolling-window walk-forward analysis: (1) Train on N days of history (default 252), (2) Generate portfolio weights, (3) Evaluate on next M days (default 63 = 1 quarter), (4) Roll forward by M days and repeat. Track cumulative returns, drawdowns, and all standard metrics across the entire out-of-sample period. Support configurable train/test split, rebalance frequency (daily/weekly/monthly), and warmup periods. Enforce strict temporal separation: no future data leaks.</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core/backtesting/engine.py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pandas, numpy, core/quantum_inspired/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DEDEC" w:val="clear"/>
          </w:tcPr>
          <w:p>
            <w:r>
              <w:rPr>
                <w:rFonts w:ascii="Arial" w:cs="Arial" w:eastAsia="Arial" w:hAnsi="Arial"/>
                <w:b/>
                <w:bCs/>
                <w:color w:val="C0392B"/>
                <w:sz w:val="22"/>
                <w:szCs w:val="22"/>
              </w:rPr>
              <w:t xml:space="preserve">[P0] </w:t>
            </w:r>
            <w:r>
              <w:rPr>
                <w:rFonts w:ascii="Arial" w:cs="Arial" w:eastAsia="Arial" w:hAnsi="Arial"/>
                <w:b/>
                <w:bCs/>
                <w:color w:val="222222"/>
                <w:sz w:val="24"/>
                <w:szCs w:val="24"/>
              </w:rPr>
              <w:t xml:space="preserve">2.2  Transaction Cost Model</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Model three layers of execution cost: (1) Fixed commission per trade (configurable, default 0.1 bps), (2) Half bid-ask spread (default 5 bps for liquid equities, configurable per asset), (3) Market impact using square-root model: impact = sigma * sqrt(trade_size / ADV) * eta, where eta is a calibrated constant (~0.1 for S&amp;P 500 names). Deduct total cost from portfolio returns at each rebalance. Report gross vs. net Sharpe separately.</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core/backtesting/costs.py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pandas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2.3  Statistical Significance Testing</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Implement bootstrap confidence intervals for all performance metrics. For each metric (Sharpe, Sortino, max DD, alpha): resample daily returns with replacement 10,000 times, compute the metric on each sample, report 95% CI. Additionally implement the Deflated Sharpe Ratio (Bailey &amp; Lopez de Prado) which adjusts for the number of strategy variants tested. Report whether the QSW Sharpe improvement over each benchmark is statistically significant at p &lt; 0.05.</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core/backtesting/statistics.py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scipy.stats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2.4  Performance Metrics Suite</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Calculate comprehensive risk-adjusted metrics beyond Sharpe: (1) Sortino ratio (downside deviation only), (2) Calmar ratio (return / max drawdown), (3) Information ratio (active return / tracking error vs. benchmark), (4) Omega ratio (probability-weighted gains / losses at threshold), (5) Maximum drawdown and recovery time, (6) Win rate and profit factor, (7) Tail ratio (95th percentile gain / 5th percentile loss). All metrics computed on rolling and cumulative basis.</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core/backtesting/metrics.py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pandas</w:t>
            </w:r>
          </w:p>
        </w:tc>
      </w:tr>
    </w:tbl>
    <w:p>
      <w:r>
        <w:br w:type="page"/>
      </w:r>
    </w:p>
    <w:p>
      <w:pPr>
        <w:pStyle w:val="Heading1"/>
        <w:spacing w:before="400" w:after="200"/>
      </w:pPr>
      <w:r>
        <w:rPr>
          <w:rFonts w:ascii="Arial" w:cs="Arial" w:eastAsia="Arial" w:hAnsi="Arial"/>
          <w:b/>
          <w:bCs/>
          <w:color w:val="1B2A4A"/>
          <w:sz w:val="34"/>
          <w:szCs w:val="34"/>
        </w:rPr>
        <w:t xml:space="preserve">Module 3: Risk Management Engine</w:t>
      </w:r>
    </w:p>
    <w:p>
      <w:pPr>
        <w:spacing w:after="120"/>
      </w:pPr>
      <w:r>
        <w:rPr>
          <w:rFonts w:ascii="Arial" w:cs="Arial" w:eastAsia="Arial" w:hAnsi="Arial"/>
          <w:color w:val="333333"/>
          <w:sz w:val="22"/>
          <w:szCs w:val="22"/>
        </w:rPr>
        <w:t xml:space="preserve">Risk management is the primary concern of institutional allocators. A portfolio system without VaR, stress testing, and factor decomposition will not pass due diligence at any serious fund or allocator. These features transform the system from a research optimizer into something an investor would trust with capital.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3.1  VaR / CVaR Engine</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Implement three VaR methodologies: (1) Historical simulation (non-parametric, uses actual return distribution), (2) Parametric (variance-covariance method, assumes normal returns), (3) Monte Carlo simulation (10,000 scenarios using fitted distribution or bootstrapped returns). For each method, compute VaR and CVaR (Expected Shortfall) at 95% and 99% confidence levels. CVaR is the regulatory standard under Basel III/IV and answers the question: given that we exceed VaR, what is the expected loss? Report both portfolio-level and position-level risk contribution.</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core/risk/var_engine.py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scipy.stats, pandas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3.2  Stress Testing Framework</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Pre-built historical stress scenarios: (1) 2008 GFC (equity -50%, credit spreads +400bps), (2) 2020 COVID crash (equity -34% in 23 days), (3) 2022 rate shock (bonds -13%, growth stocks -33%), (4) Flash crash 2010 (intraday -9%). For each scenario, apply historical factor returns to current portfolio weights and report P&amp;L impact, worst-day loss, and recovery trajectory. Also support custom scenario builder: user specifies factor shocks (e.g., equity -20%, vol +50%) and system computes portfolio impact using current factor exposures.</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core/risk/stress_testing.py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pandas, core/risk/var_engine.py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3.3  Factor Risk Decomposition</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Decompose portfolio risk into systematic factor exposures using PCA-based factor model: (1) Extract principal components from return covariance (top 5-10 factors explaining &gt;80% variance), (2) Map to interpretable labels where possible (market, size, value, momentum, volatility), (3) Compute marginal and component risk contribution per factor, (4) Report active factor bets vs. benchmark. For users with access, integrate Fama-French 5 factors as an alternative. Output: percentage of portfolio variance attributable to each factor vs. idiosyncratic risk.</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core/risk/factor_model.py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numpy, sklearn.decomposition, pandas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EBF5FB" w:val="clear"/>
          </w:tcPr>
          <w:p>
            <w:r>
              <w:rPr>
                <w:rFonts w:ascii="Arial" w:cs="Arial" w:eastAsia="Arial" w:hAnsi="Arial"/>
                <w:b/>
                <w:bCs/>
                <w:color w:val="2E74B5"/>
                <w:sz w:val="22"/>
                <w:szCs w:val="22"/>
              </w:rPr>
              <w:t xml:space="preserve">[P2] </w:t>
            </w:r>
            <w:r>
              <w:rPr>
                <w:rFonts w:ascii="Arial" w:cs="Arial" w:eastAsia="Arial" w:hAnsi="Arial"/>
                <w:b/>
                <w:bCs/>
                <w:color w:val="222222"/>
                <w:sz w:val="24"/>
                <w:szCs w:val="24"/>
              </w:rPr>
              <w:t xml:space="preserve">3.4  Constraint Engine Upgrade</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Extend the optimizer constraint framework beyond min/max weights: (1) Sector exposure limits (e.g., max 25% in Technology) using GICS sector classification, (2) Tracking error constraint (e.g., TE &lt; 5% vs. S&amp;P 500), (3) Cardinality constraint (hold exactly N positions), (4) Turnover budget constraint (integrated into optimization, not post-hoc clipping), (5) Factor exposure limits (e.g., beta between 0.8 and 1.2). Implement using augmented Lagrangian method or SOCP reformulation.</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core/constraints/engine.py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scipy.optimize, numpy, cvxpy (optional)</w:t>
            </w:r>
          </w:p>
        </w:tc>
      </w:tr>
    </w:tbl>
    <w:p>
      <w:r>
        <w:br w:type="page"/>
      </w:r>
    </w:p>
    <w:p>
      <w:pPr>
        <w:pStyle w:val="Heading1"/>
        <w:spacing w:before="400" w:after="200"/>
      </w:pPr>
      <w:r>
        <w:rPr>
          <w:rFonts w:ascii="Arial" w:cs="Arial" w:eastAsia="Arial" w:hAnsi="Arial"/>
          <w:b/>
          <w:bCs/>
          <w:color w:val="1B2A4A"/>
          <w:sz w:val="34"/>
          <w:szCs w:val="34"/>
        </w:rPr>
        <w:t xml:space="preserve">Module 4: Data Infrastructure</w:t>
      </w:r>
    </w:p>
    <w:p>
      <w:pPr>
        <w:spacing w:after="120"/>
      </w:pPr>
      <w:r>
        <w:rPr>
          <w:rFonts w:ascii="Arial" w:cs="Arial" w:eastAsia="Arial" w:hAnsi="Arial"/>
          <w:color w:val="333333"/>
          <w:sz w:val="22"/>
          <w:szCs w:val="22"/>
        </w:rPr>
        <w:t xml:space="preserve">Production systems need reliable, automated data ingestion with quality controls. The current approach of downloading data at runtime from a single free API with no validation or storage is a single point of failure that blocks every other feature.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4.1  Data Pipeline &amp; Storage</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Automated daily data ingestion pipeline: (1) Download OHLCV + adjusted close from primary source (yfinance as free tier, with plug-in architecture for Bloomberg/Refinitiv), (2) Store in local SQLite or PostgreSQL with as-of timestamp for point-in-time queries, (3) Validate data quality: check for stale prices (no update in N days), extreme returns (&gt;20% daily move triggers review), missing data, negative prices, (4) Apply corporate action adjustments, (5) Schedule via cron or Prefect for daily updates. Expose clean DataFrame via simple API: get_returns(universe, start, end).</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data/pipeline.py + data/storage.py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pandas, sqlalchemy, yfinance, schedule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EBF5FB" w:val="clear"/>
          </w:tcPr>
          <w:p>
            <w:r>
              <w:rPr>
                <w:rFonts w:ascii="Arial" w:cs="Arial" w:eastAsia="Arial" w:hAnsi="Arial"/>
                <w:b/>
                <w:bCs/>
                <w:color w:val="2E74B5"/>
                <w:sz w:val="22"/>
                <w:szCs w:val="22"/>
              </w:rPr>
              <w:t xml:space="preserve">[P2] </w:t>
            </w:r>
            <w:r>
              <w:rPr>
                <w:rFonts w:ascii="Arial" w:cs="Arial" w:eastAsia="Arial" w:hAnsi="Arial"/>
                <w:b/>
                <w:bCs/>
                <w:color w:val="222222"/>
                <w:sz w:val="24"/>
                <w:szCs w:val="24"/>
              </w:rPr>
              <w:t xml:space="preserve">4.2  Universe Management</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Maintain point-in-time investment universe to eliminate survivorship bias: (1) Track S&amp;P 500 constituent changes over time (additions and deletions), (2) For any historical date, return the universe as it existed on that date, (3) Handle delistings, mergers, ticker changes, (4) Source from Wikipedia S&amp;P 500 changes table or paid data provider. This is essential for backtesting validity. Without it, you are backtesting on today's winners, which inflates results by 1-3% annually.</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data/universe.py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pandas, beautifulsoup4 (for scraping)</w:t>
            </w:r>
          </w:p>
        </w:tc>
      </w:tr>
    </w:tbl>
    <w:p>
      <w:pPr>
        <w:pStyle w:val="Heading1"/>
        <w:spacing w:before="400" w:after="200"/>
      </w:pPr>
      <w:r>
        <w:rPr>
          <w:rFonts w:ascii="Arial" w:cs="Arial" w:eastAsia="Arial" w:hAnsi="Arial"/>
          <w:b/>
          <w:bCs/>
          <w:color w:val="1B2A4A"/>
          <w:sz w:val="34"/>
          <w:szCs w:val="34"/>
        </w:rPr>
        <w:t xml:space="preserve">Module 5: Reporting &amp; Deployment</w:t>
      </w:r>
    </w:p>
    <w:p>
      <w:pPr>
        <w:spacing w:after="120"/>
      </w:pPr>
      <w:r>
        <w:rPr>
          <w:rFonts w:ascii="Arial" w:cs="Arial" w:eastAsia="Arial" w:hAnsi="Arial"/>
          <w:color w:val="333333"/>
          <w:sz w:val="22"/>
          <w:szCs w:val="22"/>
        </w:rPr>
        <w:t xml:space="preserve">These features bridge the gap between a working system and one that stakeholders can evaluate, monitor, and trust. A Streamlit dashboard is the fastest path to making results accessible.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5.1  Performance Attribution</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Implement Brinson-Fachler attribution to decompose portfolio returns into: (1) Allocation effect (over/underweight in sectors that outperformed), (2) Selection effect (stock picking within sectors), (3) Interaction effect. Requires sector classification for each holding. Report monthly and cumulative attribution. Additionally implement returns-based style analysis (Sharpe 1992) to decompose returns against factor indices (value, growth, size, quality, momentum).</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core/reporting/attribution.py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pandas, numpy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FEF5E7" w:val="clear"/>
          </w:tcPr>
          <w:p>
            <w:r>
              <w:rPr>
                <w:rFonts w:ascii="Arial" w:cs="Arial" w:eastAsia="Arial" w:hAnsi="Arial"/>
                <w:b/>
                <w:bCs/>
                <w:color w:val="E67E22"/>
                <w:sz w:val="22"/>
                <w:szCs w:val="22"/>
              </w:rPr>
              <w:t xml:space="preserve">[P1] </w:t>
            </w:r>
            <w:r>
              <w:rPr>
                <w:rFonts w:ascii="Arial" w:cs="Arial" w:eastAsia="Arial" w:hAnsi="Arial"/>
                <w:b/>
                <w:bCs/>
                <w:color w:val="222222"/>
                <w:sz w:val="24"/>
                <w:szCs w:val="24"/>
              </w:rPr>
              <w:t xml:space="preserve">5.2  Dashboard (Streamlit)</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Interactive web dashboard with four main views: (1) Portfolio view: current holdings, weights, sector breakdown pie chart, (2) Performance view: cumulative returns vs. benchmarks, rolling Sharpe, drawdown chart, (3) Risk view: VaR/CVaR gauges, factor exposure bar chart, stress test results table, (4) Backtest view: walk-forward equity curve, monthly return heatmap, statistics table. Deploy via Streamlit Cloud or Docker container. Include date range selector, benchmark toggle, and regime indicator.</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dashboard/app.py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streamlit, plotly, pandas, all core modules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9360"/>
            <w:gridSpan w:val="2"/>
            <w:tcBorders>
              <w:top w:val="single" w:color="CCCCCC" w:sz="1"/>
              <w:left w:val="single" w:color="CCCCCC" w:sz="1"/>
              <w:bottom w:val="single" w:color="CCCCCC" w:sz="1"/>
              <w:right w:val="single" w:color="CCCCCC" w:sz="1"/>
            </w:tcBorders>
            <w:shd w:fill="EBF5FB" w:val="clear"/>
          </w:tcPr>
          <w:p>
            <w:r>
              <w:rPr>
                <w:rFonts w:ascii="Arial" w:cs="Arial" w:eastAsia="Arial" w:hAnsi="Arial"/>
                <w:b/>
                <w:bCs/>
                <w:color w:val="2E74B5"/>
                <w:sz w:val="22"/>
                <w:szCs w:val="22"/>
              </w:rPr>
              <w:t xml:space="preserve">[P2] </w:t>
            </w:r>
            <w:r>
              <w:rPr>
                <w:rFonts w:ascii="Arial" w:cs="Arial" w:eastAsia="Arial" w:hAnsi="Arial"/>
                <w:b/>
                <w:bCs/>
                <w:color w:val="222222"/>
                <w:sz w:val="24"/>
                <w:szCs w:val="24"/>
              </w:rPr>
              <w:t xml:space="preserve">5.3  Automated Tear Sheets</w:t>
            </w:r>
          </w:p>
        </w:tc>
      </w:tr>
      <w:tr>
        <w:tc>
          <w:tcPr>
            <w:tcW w:type="dxa" w:w="546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What it does:</w:t>
            </w:r>
          </w:p>
          <w:p>
            <w:r>
              <w:rPr>
                <w:rFonts w:ascii="Arial" w:cs="Arial" w:eastAsia="Arial" w:hAnsi="Arial"/>
                <w:color w:val="333333"/>
                <w:sz w:val="20"/>
                <w:szCs w:val="20"/>
              </w:rPr>
              <w:t xml:space="preserve">Generate PDF/HTML one-page tear sheets suitable for investor distribution: (1) Performance summary table (return, vol, Sharpe, max DD, Sortino), (2) Cumulative return chart vs. benchmark, (3) Monthly return heatmap, (4) Current top 10 holdings, (5) Sector allocation, (6) Risk metrics (VaR, CVaR, beta). Auto-generate on each backtest run or on monthly schedule. Use quantstats or custom matplotlib/reportlab rendering.</w:t>
            </w:r>
          </w:p>
        </w:tc>
        <w:tc>
          <w:tcPr>
            <w:tcW w:type="dxa" w:w="3900"/>
            <w:tcBorders>
              <w:top w:val="single" w:color="CCCCCC" w:sz="1"/>
              <w:left w:val="single" w:color="CCCCCC" w:sz="1"/>
              <w:bottom w:val="single" w:color="CCCCCC" w:sz="1"/>
              <w:right w:val="single" w:color="CCCCCC" w:sz="1"/>
            </w:tcBorders>
          </w:tcPr>
          <w:p>
            <w:pPr>
              <w:spacing w:after="40"/>
            </w:pPr>
            <w:r>
              <w:rPr>
                <w:rFonts w:ascii="Arial" w:cs="Arial" w:eastAsia="Arial" w:hAnsi="Arial"/>
                <w:b/>
                <w:bCs/>
                <w:color w:val="555555"/>
                <w:sz w:val="20"/>
                <w:szCs w:val="20"/>
              </w:rPr>
              <w:t xml:space="preserve">File:</w:t>
            </w:r>
          </w:p>
          <w:p>
            <w:pPr>
              <w:spacing w:after="80"/>
            </w:pPr>
            <w:r>
              <w:rPr>
                <w:rFonts w:ascii="Courier New" w:cs="Courier New" w:eastAsia="Courier New" w:hAnsi="Courier New"/>
                <w:color w:val="2E74B5"/>
                <w:sz w:val="20"/>
                <w:szCs w:val="20"/>
              </w:rPr>
              <w:t xml:space="preserve">core/reporting/tearsheet.py</w:t>
            </w:r>
          </w:p>
          <w:p>
            <w:pPr>
              <w:spacing w:after="40"/>
            </w:pPr>
            <w:r>
              <w:rPr>
                <w:rFonts w:ascii="Arial" w:cs="Arial" w:eastAsia="Arial" w:hAnsi="Arial"/>
                <w:b/>
                <w:bCs/>
                <w:color w:val="555555"/>
                <w:sz w:val="20"/>
                <w:szCs w:val="20"/>
              </w:rPr>
              <w:t xml:space="preserve">Dependencies:</w:t>
            </w:r>
          </w:p>
          <w:p>
            <w:r>
              <w:rPr>
                <w:rFonts w:ascii="Arial" w:cs="Arial" w:eastAsia="Arial" w:hAnsi="Arial"/>
                <w:color w:val="333333"/>
                <w:sz w:val="20"/>
                <w:szCs w:val="20"/>
              </w:rPr>
              <w:t xml:space="preserve">matplotlib, reportlab or quantstats</w:t>
            </w:r>
          </w:p>
        </w:tc>
      </w:tr>
    </w:tbl>
    <w:p>
      <w:r>
        <w:br w:type="page"/>
      </w:r>
    </w:p>
    <w:p>
      <w:pPr>
        <w:pStyle w:val="Heading1"/>
        <w:spacing w:before="400" w:after="200"/>
      </w:pPr>
      <w:r>
        <w:rPr>
          <w:rFonts w:ascii="Arial" w:cs="Arial" w:eastAsia="Arial" w:hAnsi="Arial"/>
          <w:b/>
          <w:bCs/>
          <w:color w:val="1B2A4A"/>
          <w:sz w:val="34"/>
          <w:szCs w:val="34"/>
        </w:rPr>
        <w:t xml:space="preserve">Proposed Directory Structure</w:t>
      </w:r>
    </w:p>
    <w:p>
      <w:pPr>
        <w:spacing w:after="120"/>
      </w:pPr>
      <w:r>
        <w:rPr>
          <w:rFonts w:ascii="Arial" w:cs="Arial" w:eastAsia="Arial" w:hAnsi="Arial"/>
          <w:color w:val="333333"/>
          <w:sz w:val="22"/>
          <w:szCs w:val="22"/>
        </w:rPr>
        <w:t xml:space="preserve">The following structure organizes the 17 features into a clean, modular architecture that extends the existing codebase:</w:t>
      </w:r>
    </w:p>
    <w:p>
      <w:pPr>
        <w:spacing w:before="80" w:after="80"/>
        <w:ind w:left="360"/>
      </w:pPr>
      <w:r>
        <w:rPr>
          <w:rFonts w:ascii="Courier New" w:cs="Courier New" w:eastAsia="Courier New" w:hAnsi="Courier New"/>
          <w:color w:val="444444"/>
          <w:sz w:val="20"/>
          <w:szCs w:val="20"/>
        </w:rPr>
        <w:t xml:space="preserve">quantum-hybrid-portfolio/</w:t>
      </w:r>
    </w:p>
    <w:p>
      <w:pPr>
        <w:spacing w:before="80" w:after="80"/>
        <w:ind w:left="360"/>
      </w:pPr>
      <w:r>
        <w:rPr>
          <w:rFonts w:ascii="Courier New" w:cs="Courier New" w:eastAsia="Courier New" w:hAnsi="Courier New"/>
          <w:color w:val="444444"/>
          <w:sz w:val="20"/>
          <w:szCs w:val="20"/>
        </w:rPr>
        <w:t xml:space="preserve">├── core/</w:t>
      </w:r>
    </w:p>
    <w:p>
      <w:pPr>
        <w:spacing w:before="80" w:after="80"/>
        <w:ind w:left="360"/>
      </w:pPr>
      <w:r>
        <w:rPr>
          <w:rFonts w:ascii="Courier New" w:cs="Courier New" w:eastAsia="Courier New" w:hAnsi="Courier New"/>
          <w:color w:val="444444"/>
          <w:sz w:val="20"/>
          <w:szCs w:val="20"/>
        </w:rPr>
        <w:t xml:space="preserve">│   ├── quantum_inspired/          # Existing QSW engine</w:t>
      </w:r>
    </w:p>
    <w:p>
      <w:pPr>
        <w:spacing w:before="80" w:after="80"/>
        <w:ind w:left="360"/>
      </w:pPr>
      <w:r>
        <w:rPr>
          <w:rFonts w:ascii="Courier New" w:cs="Courier New" w:eastAsia="Courier New" w:hAnsi="Courier New"/>
          <w:color w:val="444444"/>
          <w:sz w:val="20"/>
          <w:szCs w:val="20"/>
        </w:rPr>
        <w:t xml:space="preserve">│   │   ├── quantum_walk.py</w:t>
      </w:r>
    </w:p>
    <w:p>
      <w:pPr>
        <w:spacing w:before="80" w:after="80"/>
        <w:ind w:left="360"/>
      </w:pPr>
      <w:r>
        <w:rPr>
          <w:rFonts w:ascii="Courier New" w:cs="Courier New" w:eastAsia="Courier New" w:hAnsi="Courier New"/>
          <w:color w:val="444444"/>
          <w:sz w:val="20"/>
          <w:szCs w:val="20"/>
        </w:rPr>
        <w:t xml:space="preserve">│   │   ├── evolution_dynamics.py   # Modified: Hamiltonian redesign (1.2)</w:t>
      </w:r>
    </w:p>
    <w:p>
      <w:pPr>
        <w:spacing w:before="80" w:after="80"/>
        <w:ind w:left="360"/>
      </w:pPr>
      <w:r>
        <w:rPr>
          <w:rFonts w:ascii="Courier New" w:cs="Courier New" w:eastAsia="Courier New" w:hAnsi="Courier New"/>
          <w:color w:val="444444"/>
          <w:sz w:val="20"/>
          <w:szCs w:val="20"/>
        </w:rPr>
        <w:t xml:space="preserve">│   │   ├── graph_builder.py</w:t>
      </w:r>
    </w:p>
    <w:p>
      <w:pPr>
        <w:spacing w:before="80" w:after="80"/>
        <w:ind w:left="360"/>
      </w:pPr>
      <w:r>
        <w:rPr>
          <w:rFonts w:ascii="Courier New" w:cs="Courier New" w:eastAsia="Courier New" w:hAnsi="Courier New"/>
          <w:color w:val="444444"/>
          <w:sz w:val="20"/>
          <w:szCs w:val="20"/>
        </w:rPr>
        <w:t xml:space="preserve">│   │   └── stability_enhancer.py</w:t>
      </w:r>
    </w:p>
    <w:p>
      <w:pPr>
        <w:spacing w:before="80" w:after="80"/>
        <w:ind w:left="360"/>
      </w:pPr>
      <w:r>
        <w:rPr>
          <w:rFonts w:ascii="Courier New" w:cs="Courier New" w:eastAsia="Courier New" w:hAnsi="Courier New"/>
          <w:color w:val="444444"/>
          <w:sz w:val="20"/>
          <w:szCs w:val="20"/>
        </w:rPr>
        <w:t xml:space="preserve">│   ├── estimators/                # NEW</w:t>
      </w:r>
    </w:p>
    <w:p>
      <w:pPr>
        <w:spacing w:before="80" w:after="80"/>
        <w:ind w:left="360"/>
      </w:pPr>
      <w:r>
        <w:rPr>
          <w:rFonts w:ascii="Courier New" w:cs="Courier New" w:eastAsia="Courier New" w:hAnsi="Courier New"/>
          <w:color w:val="444444"/>
          <w:sz w:val="20"/>
          <w:szCs w:val="20"/>
        </w:rPr>
        <w:t xml:space="preserve">│   │   └── covariance.py          # Ledoit-Wolf, OAS, RMT (1.1)</w:t>
      </w:r>
    </w:p>
    <w:p>
      <w:pPr>
        <w:spacing w:before="80" w:after="80"/>
        <w:ind w:left="360"/>
      </w:pPr>
      <w:r>
        <w:rPr>
          <w:rFonts w:ascii="Courier New" w:cs="Courier New" w:eastAsia="Courier New" w:hAnsi="Courier New"/>
          <w:color w:val="444444"/>
          <w:sz w:val="20"/>
          <w:szCs w:val="20"/>
        </w:rPr>
        <w:t xml:space="preserve">│   ├── regime/                    # NEW</w:t>
      </w:r>
    </w:p>
    <w:p>
      <w:pPr>
        <w:spacing w:before="80" w:after="80"/>
        <w:ind w:left="360"/>
      </w:pPr>
      <w:r>
        <w:rPr>
          <w:rFonts w:ascii="Courier New" w:cs="Courier New" w:eastAsia="Courier New" w:hAnsi="Courier New"/>
          <w:color w:val="444444"/>
          <w:sz w:val="20"/>
          <w:szCs w:val="20"/>
        </w:rPr>
        <w:t xml:space="preserve">│   │   └── detector.py            # HMM regime detection (1.3)</w:t>
      </w:r>
    </w:p>
    <w:p>
      <w:pPr>
        <w:spacing w:before="80" w:after="80"/>
        <w:ind w:left="360"/>
      </w:pPr>
      <w:r>
        <w:rPr>
          <w:rFonts w:ascii="Courier New" w:cs="Courier New" w:eastAsia="Courier New" w:hAnsi="Courier New"/>
          <w:color w:val="444444"/>
          <w:sz w:val="20"/>
          <w:szCs w:val="20"/>
        </w:rPr>
        <w:t xml:space="preserve">│   ├── benchmarks/                # NEW</w:t>
      </w:r>
    </w:p>
    <w:p>
      <w:pPr>
        <w:spacing w:before="80" w:after="80"/>
        <w:ind w:left="360"/>
      </w:pPr>
      <w:r>
        <w:rPr>
          <w:rFonts w:ascii="Courier New" w:cs="Courier New" w:eastAsia="Courier New" w:hAnsi="Courier New"/>
          <w:color w:val="444444"/>
          <w:sz w:val="20"/>
          <w:szCs w:val="20"/>
        </w:rPr>
        <w:t xml:space="preserve">│   │   └── classical.py           # EW, MinVar, RP, HRP (1.4)</w:t>
      </w:r>
    </w:p>
    <w:p>
      <w:pPr>
        <w:spacing w:before="80" w:after="80"/>
        <w:ind w:left="360"/>
      </w:pPr>
      <w:r>
        <w:rPr>
          <w:rFonts w:ascii="Courier New" w:cs="Courier New" w:eastAsia="Courier New" w:hAnsi="Courier New"/>
          <w:color w:val="444444"/>
          <w:sz w:val="20"/>
          <w:szCs w:val="20"/>
        </w:rPr>
        <w:t xml:space="preserve">│   ├── backtesting/               # NEW</w:t>
      </w:r>
    </w:p>
    <w:p>
      <w:pPr>
        <w:spacing w:before="80" w:after="80"/>
        <w:ind w:left="360"/>
      </w:pPr>
      <w:r>
        <w:rPr>
          <w:rFonts w:ascii="Courier New" w:cs="Courier New" w:eastAsia="Courier New" w:hAnsi="Courier New"/>
          <w:color w:val="444444"/>
          <w:sz w:val="20"/>
          <w:szCs w:val="20"/>
        </w:rPr>
        <w:t xml:space="preserve">│   │   ├── engine.py              # Walk-forward (2.1)</w:t>
      </w:r>
    </w:p>
    <w:p>
      <w:pPr>
        <w:spacing w:before="80" w:after="80"/>
        <w:ind w:left="360"/>
      </w:pPr>
      <w:r>
        <w:rPr>
          <w:rFonts w:ascii="Courier New" w:cs="Courier New" w:eastAsia="Courier New" w:hAnsi="Courier New"/>
          <w:color w:val="444444"/>
          <w:sz w:val="20"/>
          <w:szCs w:val="20"/>
        </w:rPr>
        <w:t xml:space="preserve">│   │   ├── costs.py               # Transaction costs (2.2)</w:t>
      </w:r>
    </w:p>
    <w:p>
      <w:pPr>
        <w:spacing w:before="80" w:after="80"/>
        <w:ind w:left="360"/>
      </w:pPr>
      <w:r>
        <w:rPr>
          <w:rFonts w:ascii="Courier New" w:cs="Courier New" w:eastAsia="Courier New" w:hAnsi="Courier New"/>
          <w:color w:val="444444"/>
          <w:sz w:val="20"/>
          <w:szCs w:val="20"/>
        </w:rPr>
        <w:t xml:space="preserve">│   │   ├── statistics.py          # Bootstrap, DSR (2.3)</w:t>
      </w:r>
    </w:p>
    <w:p>
      <w:pPr>
        <w:spacing w:before="80" w:after="80"/>
        <w:ind w:left="360"/>
      </w:pPr>
      <w:r>
        <w:rPr>
          <w:rFonts w:ascii="Courier New" w:cs="Courier New" w:eastAsia="Courier New" w:hAnsi="Courier New"/>
          <w:color w:val="444444"/>
          <w:sz w:val="20"/>
          <w:szCs w:val="20"/>
        </w:rPr>
        <w:t xml:space="preserve">│   │   └── metrics.py             # Sortino, Calmar, etc. (2.4)</w:t>
      </w:r>
    </w:p>
    <w:p>
      <w:pPr>
        <w:spacing w:before="80" w:after="80"/>
        <w:ind w:left="360"/>
      </w:pPr>
      <w:r>
        <w:rPr>
          <w:rFonts w:ascii="Courier New" w:cs="Courier New" w:eastAsia="Courier New" w:hAnsi="Courier New"/>
          <w:color w:val="444444"/>
          <w:sz w:val="20"/>
          <w:szCs w:val="20"/>
        </w:rPr>
        <w:t xml:space="preserve">│   ├── risk/                      # NEW</w:t>
      </w:r>
    </w:p>
    <w:p>
      <w:pPr>
        <w:spacing w:before="80" w:after="80"/>
        <w:ind w:left="360"/>
      </w:pPr>
      <w:r>
        <w:rPr>
          <w:rFonts w:ascii="Courier New" w:cs="Courier New" w:eastAsia="Courier New" w:hAnsi="Courier New"/>
          <w:color w:val="444444"/>
          <w:sz w:val="20"/>
          <w:szCs w:val="20"/>
        </w:rPr>
        <w:t xml:space="preserve">│   │   ├── var_engine.py          # VaR/CVaR (3.1)</w:t>
      </w:r>
    </w:p>
    <w:p>
      <w:pPr>
        <w:spacing w:before="80" w:after="80"/>
        <w:ind w:left="360"/>
      </w:pPr>
      <w:r>
        <w:rPr>
          <w:rFonts w:ascii="Courier New" w:cs="Courier New" w:eastAsia="Courier New" w:hAnsi="Courier New"/>
          <w:color w:val="444444"/>
          <w:sz w:val="20"/>
          <w:szCs w:val="20"/>
        </w:rPr>
        <w:t xml:space="preserve">│   │   ├── stress_testing.py      # Scenarios (3.2)</w:t>
      </w:r>
    </w:p>
    <w:p>
      <w:pPr>
        <w:spacing w:before="80" w:after="80"/>
        <w:ind w:left="360"/>
      </w:pPr>
      <w:r>
        <w:rPr>
          <w:rFonts w:ascii="Courier New" w:cs="Courier New" w:eastAsia="Courier New" w:hAnsi="Courier New"/>
          <w:color w:val="444444"/>
          <w:sz w:val="20"/>
          <w:szCs w:val="20"/>
        </w:rPr>
        <w:t xml:space="preserve">│   │   └── factor_model.py        # PCA factors (3.3)</w:t>
      </w:r>
    </w:p>
    <w:p>
      <w:pPr>
        <w:spacing w:before="80" w:after="80"/>
        <w:ind w:left="360"/>
      </w:pPr>
      <w:r>
        <w:rPr>
          <w:rFonts w:ascii="Courier New" w:cs="Courier New" w:eastAsia="Courier New" w:hAnsi="Courier New"/>
          <w:color w:val="444444"/>
          <w:sz w:val="20"/>
          <w:szCs w:val="20"/>
        </w:rPr>
        <w:t xml:space="preserve">│   ├── constraints/               # NEW</w:t>
      </w:r>
    </w:p>
    <w:p>
      <w:pPr>
        <w:spacing w:before="80" w:after="80"/>
        <w:ind w:left="360"/>
      </w:pPr>
      <w:r>
        <w:rPr>
          <w:rFonts w:ascii="Courier New" w:cs="Courier New" w:eastAsia="Courier New" w:hAnsi="Courier New"/>
          <w:color w:val="444444"/>
          <w:sz w:val="20"/>
          <w:szCs w:val="20"/>
        </w:rPr>
        <w:t xml:space="preserve">│   │   └── engine.py              # Sector, TE, cardinality (3.4)</w:t>
      </w:r>
    </w:p>
    <w:p>
      <w:pPr>
        <w:spacing w:before="80" w:after="80"/>
        <w:ind w:left="360"/>
      </w:pPr>
      <w:r>
        <w:rPr>
          <w:rFonts w:ascii="Courier New" w:cs="Courier New" w:eastAsia="Courier New" w:hAnsi="Courier New"/>
          <w:color w:val="444444"/>
          <w:sz w:val="20"/>
          <w:szCs w:val="20"/>
        </w:rPr>
        <w:t xml:space="preserve">│   └── reporting/                 # NEW</w:t>
      </w:r>
    </w:p>
    <w:p>
      <w:pPr>
        <w:spacing w:before="80" w:after="80"/>
        <w:ind w:left="360"/>
      </w:pPr>
      <w:r>
        <w:rPr>
          <w:rFonts w:ascii="Courier New" w:cs="Courier New" w:eastAsia="Courier New" w:hAnsi="Courier New"/>
          <w:color w:val="444444"/>
          <w:sz w:val="20"/>
          <w:szCs w:val="20"/>
        </w:rPr>
        <w:t xml:space="preserve">│       ├── attribution.py         # Brinson-Fachler (5.1)</w:t>
      </w:r>
    </w:p>
    <w:p>
      <w:pPr>
        <w:spacing w:before="80" w:after="80"/>
        <w:ind w:left="360"/>
      </w:pPr>
      <w:r>
        <w:rPr>
          <w:rFonts w:ascii="Courier New" w:cs="Courier New" w:eastAsia="Courier New" w:hAnsi="Courier New"/>
          <w:color w:val="444444"/>
          <w:sz w:val="20"/>
          <w:szCs w:val="20"/>
        </w:rPr>
        <w:t xml:space="preserve">│       └── tearsheet.py           # PDF generation (5.3)</w:t>
      </w:r>
    </w:p>
    <w:p>
      <w:pPr>
        <w:spacing w:before="80" w:after="80"/>
        <w:ind w:left="360"/>
      </w:pPr>
      <w:r>
        <w:rPr>
          <w:rFonts w:ascii="Courier New" w:cs="Courier New" w:eastAsia="Courier New" w:hAnsi="Courier New"/>
          <w:color w:val="444444"/>
          <w:sz w:val="20"/>
          <w:szCs w:val="20"/>
        </w:rPr>
        <w:t xml:space="preserve">├── data/</w:t>
      </w:r>
    </w:p>
    <w:p>
      <w:pPr>
        <w:spacing w:before="80" w:after="80"/>
        <w:ind w:left="360"/>
      </w:pPr>
      <w:r>
        <w:rPr>
          <w:rFonts w:ascii="Courier New" w:cs="Courier New" w:eastAsia="Courier New" w:hAnsi="Courier New"/>
          <w:color w:val="444444"/>
          <w:sz w:val="20"/>
          <w:szCs w:val="20"/>
        </w:rPr>
        <w:t xml:space="preserve">│   ├── pipeline.py                # Data ingestion (4.1)</w:t>
      </w:r>
    </w:p>
    <w:p>
      <w:pPr>
        <w:spacing w:before="80" w:after="80"/>
        <w:ind w:left="360"/>
      </w:pPr>
      <w:r>
        <w:rPr>
          <w:rFonts w:ascii="Courier New" w:cs="Courier New" w:eastAsia="Courier New" w:hAnsi="Courier New"/>
          <w:color w:val="444444"/>
          <w:sz w:val="20"/>
          <w:szCs w:val="20"/>
        </w:rPr>
        <w:t xml:space="preserve">│   ├── storage.py                 # Database layer (4.1)</w:t>
      </w:r>
    </w:p>
    <w:p>
      <w:pPr>
        <w:spacing w:before="80" w:after="80"/>
        <w:ind w:left="360"/>
      </w:pPr>
      <w:r>
        <w:rPr>
          <w:rFonts w:ascii="Courier New" w:cs="Courier New" w:eastAsia="Courier New" w:hAnsi="Courier New"/>
          <w:color w:val="444444"/>
          <w:sz w:val="20"/>
          <w:szCs w:val="20"/>
        </w:rPr>
        <w:t xml:space="preserve">│   └── universe.py                # Point-in-time universe (4.2)</w:t>
      </w:r>
    </w:p>
    <w:p>
      <w:pPr>
        <w:spacing w:before="80" w:after="80"/>
        <w:ind w:left="360"/>
      </w:pPr>
      <w:r>
        <w:rPr>
          <w:rFonts w:ascii="Courier New" w:cs="Courier New" w:eastAsia="Courier New" w:hAnsi="Courier New"/>
          <w:color w:val="444444"/>
          <w:sz w:val="20"/>
          <w:szCs w:val="20"/>
        </w:rPr>
        <w:t xml:space="preserve">└── dashboard/</w:t>
      </w:r>
    </w:p>
    <w:p>
      <w:pPr>
        <w:spacing w:before="80" w:after="80"/>
        <w:ind w:left="360"/>
      </w:pPr>
      <w:r>
        <w:rPr>
          <w:rFonts w:ascii="Courier New" w:cs="Courier New" w:eastAsia="Courier New" w:hAnsi="Courier New"/>
          <w:color w:val="444444"/>
          <w:sz w:val="20"/>
          <w:szCs w:val="20"/>
        </w:rPr>
        <w:t xml:space="preserve">    └── app.py                     # Streamlit dashboard (5.2)</w:t>
      </w:r>
    </w:p>
    <w:p>
      <w:r>
        <w:br w:type="page"/>
      </w:r>
    </w:p>
    <w:p>
      <w:pPr>
        <w:pStyle w:val="Heading1"/>
        <w:spacing w:before="400" w:after="200"/>
      </w:pPr>
      <w:r>
        <w:rPr>
          <w:rFonts w:ascii="Arial" w:cs="Arial" w:eastAsia="Arial" w:hAnsi="Arial"/>
          <w:b/>
          <w:bCs/>
          <w:color w:val="1B2A4A"/>
          <w:sz w:val="34"/>
          <w:szCs w:val="34"/>
        </w:rPr>
        <w:t xml:space="preserve">Implementation Sequence</w:t>
      </w:r>
    </w:p>
    <w:p>
      <w:pPr>
        <w:spacing w:after="120"/>
      </w:pPr>
      <w:r>
        <w:rPr>
          <w:rFonts w:ascii="Arial" w:cs="Arial" w:eastAsia="Arial" w:hAnsi="Arial"/>
          <w:color w:val="333333"/>
          <w:sz w:val="22"/>
          <w:szCs w:val="22"/>
        </w:rPr>
        <w:t xml:space="preserve">Features must be built in dependency order. The following sequence ensures each feature has its prerequisites in place and delivers testable value at each step.</w:t>
      </w:r>
    </w:p>
    <w:p>
      <w:pPr>
        <w:spacing w:before="120"/>
      </w:pPr>
    </w:p>
    <w:p>
      <w:pPr>
        <w:pStyle w:val="Heading2"/>
        <w:spacing w:before="320" w:after="160"/>
      </w:pPr>
      <w:r>
        <w:rPr>
          <w:rFonts w:ascii="Arial" w:cs="Arial" w:eastAsia="Arial" w:hAnsi="Arial"/>
          <w:b/>
          <w:bCs/>
          <w:color w:val="2E74B5"/>
          <w:sz w:val="28"/>
          <w:szCs w:val="28"/>
        </w:rPr>
        <w:t xml:space="preserve">Sprint 1 (Weeks 1-2): Foundation Fixes</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Make the optimizer competitive with classical methods.</w:t>
      </w:r>
    </w:p>
    <w:p>
      <w:pPr>
        <w:pStyle w:val="ListParagraph"/>
        <w:numPr>
          <w:ilvl w:val="0"/>
          <w:numId w:val="2"/>
        </w:numPr>
        <w:spacing w:after="60"/>
      </w:pPr>
      <w:r>
        <w:rPr>
          <w:rFonts w:ascii="Arial" w:cs="Arial" w:eastAsia="Arial" w:hAnsi="Arial"/>
          <w:color w:val="333333"/>
          <w:sz w:val="22"/>
          <w:szCs w:val="22"/>
        </w:rPr>
        <w:t xml:space="preserve">Build covariance shrinkage estimator (1.1) and integrate into quantum_walk.py optimize() method</w:t>
      </w:r>
    </w:p>
    <w:p>
      <w:pPr>
        <w:pStyle w:val="ListParagraph"/>
        <w:numPr>
          <w:ilvl w:val="0"/>
          <w:numId w:val="2"/>
        </w:numPr>
        <w:spacing w:after="60"/>
      </w:pPr>
      <w:r>
        <w:rPr>
          <w:rFonts w:ascii="Arial" w:cs="Arial" w:eastAsia="Arial" w:hAnsi="Arial"/>
          <w:color w:val="333333"/>
          <w:sz w:val="22"/>
          <w:szCs w:val="22"/>
        </w:rPr>
        <w:t xml:space="preserve">Redesign Hamiltonian in evolution_dynamics.py to use Sharpe-weighted potentials (1.2)</w:t>
      </w:r>
    </w:p>
    <w:p>
      <w:pPr>
        <w:pStyle w:val="ListParagraph"/>
        <w:numPr>
          <w:ilvl w:val="0"/>
          <w:numId w:val="2"/>
        </w:numPr>
        <w:spacing w:after="60"/>
      </w:pPr>
      <w:r>
        <w:rPr>
          <w:rFonts w:ascii="Arial" w:cs="Arial" w:eastAsia="Arial" w:hAnsi="Arial"/>
          <w:color w:val="333333"/>
          <w:sz w:val="22"/>
          <w:szCs w:val="22"/>
        </w:rPr>
        <w:t xml:space="preserve">Run existing tests to verify no regressions; measure Sharpe improvement</w:t>
      </w:r>
    </w:p>
    <w:p>
      <w:pPr>
        <w:spacing w:after="120"/>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QSW Sharpe within 10% of classical Markowitz on 10-stock synthetic data</w:t>
      </w:r>
    </w:p>
    <w:p>
      <w:pPr>
        <w:spacing w:before="120"/>
      </w:pPr>
    </w:p>
    <w:p>
      <w:pPr>
        <w:pStyle w:val="Heading2"/>
        <w:spacing w:before="320" w:after="160"/>
      </w:pPr>
      <w:r>
        <w:rPr>
          <w:rFonts w:ascii="Arial" w:cs="Arial" w:eastAsia="Arial" w:hAnsi="Arial"/>
          <w:b/>
          <w:bCs/>
          <w:color w:val="2E74B5"/>
          <w:sz w:val="28"/>
          <w:szCs w:val="28"/>
        </w:rPr>
        <w:t xml:space="preserve">Sprint 2 (Weeks 3-4): Benchmarks &amp; Regime</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Know exactly where QSW stands against all standard approaches.</w:t>
      </w:r>
    </w:p>
    <w:p>
      <w:pPr>
        <w:pStyle w:val="ListParagraph"/>
        <w:numPr>
          <w:ilvl w:val="0"/>
          <w:numId w:val="2"/>
        </w:numPr>
        <w:spacing w:after="60"/>
      </w:pPr>
      <w:r>
        <w:rPr>
          <w:rFonts w:ascii="Arial" w:cs="Arial" w:eastAsia="Arial" w:hAnsi="Arial"/>
          <w:color w:val="333333"/>
          <w:sz w:val="22"/>
          <w:szCs w:val="22"/>
        </w:rPr>
        <w:t xml:space="preserve">Implement benchmark suite (1.4): equal-weight, min-variance, risk-parity, HRP</w:t>
      </w:r>
    </w:p>
    <w:p>
      <w:pPr>
        <w:pStyle w:val="ListParagraph"/>
        <w:numPr>
          <w:ilvl w:val="0"/>
          <w:numId w:val="2"/>
        </w:numPr>
        <w:spacing w:after="60"/>
      </w:pPr>
      <w:r>
        <w:rPr>
          <w:rFonts w:ascii="Arial" w:cs="Arial" w:eastAsia="Arial" w:hAnsi="Arial"/>
          <w:color w:val="333333"/>
          <w:sz w:val="22"/>
          <w:szCs w:val="22"/>
        </w:rPr>
        <w:t xml:space="preserve">Build regime detector (1.3) with HMM and rolling volatility fallback</w:t>
      </w:r>
    </w:p>
    <w:p>
      <w:pPr>
        <w:pStyle w:val="ListParagraph"/>
        <w:numPr>
          <w:ilvl w:val="0"/>
          <w:numId w:val="2"/>
        </w:numPr>
        <w:spacing w:after="60"/>
      </w:pPr>
      <w:r>
        <w:rPr>
          <w:rFonts w:ascii="Arial" w:cs="Arial" w:eastAsia="Arial" w:hAnsi="Arial"/>
          <w:color w:val="333333"/>
          <w:sz w:val="22"/>
          <w:szCs w:val="22"/>
        </w:rPr>
        <w:t xml:space="preserve">Integrate regime detector into optimization pipeline (replace manual labels)</w:t>
      </w:r>
    </w:p>
    <w:p>
      <w:pPr>
        <w:spacing w:after="120"/>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Automated comparison table: QSW vs. 5 benchmarks across 4 detected regimes</w:t>
      </w:r>
    </w:p>
    <w:p>
      <w:pPr>
        <w:spacing w:before="120"/>
      </w:pPr>
    </w:p>
    <w:p>
      <w:pPr>
        <w:pStyle w:val="Heading2"/>
        <w:spacing w:before="320" w:after="160"/>
      </w:pPr>
      <w:r>
        <w:rPr>
          <w:rFonts w:ascii="Arial" w:cs="Arial" w:eastAsia="Arial" w:hAnsi="Arial"/>
          <w:b/>
          <w:bCs/>
          <w:color w:val="2E74B5"/>
          <w:sz w:val="28"/>
          <w:szCs w:val="28"/>
        </w:rPr>
        <w:t xml:space="preserve">Sprint 3 (Weeks 5-8): Backtesting</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Prove (or disprove) QSW advantage with out-of-sample evidence.</w:t>
      </w:r>
    </w:p>
    <w:p>
      <w:pPr>
        <w:pStyle w:val="ListParagraph"/>
        <w:numPr>
          <w:ilvl w:val="0"/>
          <w:numId w:val="2"/>
        </w:numPr>
        <w:spacing w:after="60"/>
      </w:pPr>
      <w:r>
        <w:rPr>
          <w:rFonts w:ascii="Arial" w:cs="Arial" w:eastAsia="Arial" w:hAnsi="Arial"/>
          <w:color w:val="333333"/>
          <w:sz w:val="22"/>
          <w:szCs w:val="22"/>
        </w:rPr>
        <w:t xml:space="preserve">Build walk-forward backtester (2.1) with configurable windows</w:t>
      </w:r>
    </w:p>
    <w:p>
      <w:pPr>
        <w:pStyle w:val="ListParagraph"/>
        <w:numPr>
          <w:ilvl w:val="0"/>
          <w:numId w:val="2"/>
        </w:numPr>
        <w:spacing w:after="60"/>
      </w:pPr>
      <w:r>
        <w:rPr>
          <w:rFonts w:ascii="Arial" w:cs="Arial" w:eastAsia="Arial" w:hAnsi="Arial"/>
          <w:color w:val="333333"/>
          <w:sz w:val="22"/>
          <w:szCs w:val="22"/>
        </w:rPr>
        <w:t xml:space="preserve">Add transaction cost model (2.2) with commission + spread + impact</w:t>
      </w:r>
    </w:p>
    <w:p>
      <w:pPr>
        <w:pStyle w:val="ListParagraph"/>
        <w:numPr>
          <w:ilvl w:val="0"/>
          <w:numId w:val="2"/>
        </w:numPr>
        <w:spacing w:after="60"/>
      </w:pPr>
      <w:r>
        <w:rPr>
          <w:rFonts w:ascii="Arial" w:cs="Arial" w:eastAsia="Arial" w:hAnsi="Arial"/>
          <w:color w:val="333333"/>
          <w:sz w:val="22"/>
          <w:szCs w:val="22"/>
        </w:rPr>
        <w:t xml:space="preserve">Implement metrics suite (2.4): Sortino, Calmar, information ratio, max drawdown</w:t>
      </w:r>
    </w:p>
    <w:p>
      <w:pPr>
        <w:pStyle w:val="ListParagraph"/>
        <w:numPr>
          <w:ilvl w:val="0"/>
          <w:numId w:val="2"/>
        </w:numPr>
        <w:spacing w:after="60"/>
      </w:pPr>
      <w:r>
        <w:rPr>
          <w:rFonts w:ascii="Arial" w:cs="Arial" w:eastAsia="Arial" w:hAnsi="Arial"/>
          <w:color w:val="333333"/>
          <w:sz w:val="22"/>
          <w:szCs w:val="22"/>
        </w:rPr>
        <w:t xml:space="preserve">Add bootstrap confidence intervals (2.3) and deflated Sharpe ratio</w:t>
      </w:r>
    </w:p>
    <w:p>
      <w:pPr>
        <w:spacing w:after="120"/>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3-year walk-forward backtest with net-of-cost results and 95% confidence intervals on all metrics</w:t>
      </w:r>
    </w:p>
    <w:p>
      <w:pPr>
        <w:spacing w:before="120"/>
      </w:pPr>
    </w:p>
    <w:p>
      <w:pPr>
        <w:pStyle w:val="Heading2"/>
        <w:spacing w:before="320" w:after="160"/>
      </w:pPr>
      <w:r>
        <w:rPr>
          <w:rFonts w:ascii="Arial" w:cs="Arial" w:eastAsia="Arial" w:hAnsi="Arial"/>
          <w:b/>
          <w:bCs/>
          <w:color w:val="2E74B5"/>
          <w:sz w:val="28"/>
          <w:szCs w:val="28"/>
        </w:rPr>
        <w:t xml:space="preserve">Sprint 4 (Weeks 9-12): Risk Engine</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Institutional-grade risk management layer.</w:t>
      </w:r>
    </w:p>
    <w:p>
      <w:pPr>
        <w:pStyle w:val="ListParagraph"/>
        <w:numPr>
          <w:ilvl w:val="0"/>
          <w:numId w:val="2"/>
        </w:numPr>
        <w:spacing w:after="60"/>
      </w:pPr>
      <w:r>
        <w:rPr>
          <w:rFonts w:ascii="Arial" w:cs="Arial" w:eastAsia="Arial" w:hAnsi="Arial"/>
          <w:color w:val="333333"/>
          <w:sz w:val="22"/>
          <w:szCs w:val="22"/>
        </w:rPr>
        <w:t xml:space="preserve">Build VaR/CVaR engine (3.1) with historical, parametric, and Monte Carlo methods</w:t>
      </w:r>
    </w:p>
    <w:p>
      <w:pPr>
        <w:pStyle w:val="ListParagraph"/>
        <w:numPr>
          <w:ilvl w:val="0"/>
          <w:numId w:val="2"/>
        </w:numPr>
        <w:spacing w:after="60"/>
      </w:pPr>
      <w:r>
        <w:rPr>
          <w:rFonts w:ascii="Arial" w:cs="Arial" w:eastAsia="Arial" w:hAnsi="Arial"/>
          <w:color w:val="333333"/>
          <w:sz w:val="22"/>
          <w:szCs w:val="22"/>
        </w:rPr>
        <w:t xml:space="preserve">Implement stress testing framework (3.2) with 4 historical scenarios + custom builder</w:t>
      </w:r>
    </w:p>
    <w:p>
      <w:pPr>
        <w:pStyle w:val="ListParagraph"/>
        <w:numPr>
          <w:ilvl w:val="0"/>
          <w:numId w:val="2"/>
        </w:numPr>
        <w:spacing w:after="60"/>
      </w:pPr>
      <w:r>
        <w:rPr>
          <w:rFonts w:ascii="Arial" w:cs="Arial" w:eastAsia="Arial" w:hAnsi="Arial"/>
          <w:color w:val="333333"/>
          <w:sz w:val="22"/>
          <w:szCs w:val="22"/>
        </w:rPr>
        <w:t xml:space="preserve">Add PCA-based factor decomposition (3.3)</w:t>
      </w:r>
    </w:p>
    <w:p>
      <w:pPr>
        <w:pStyle w:val="ListParagraph"/>
        <w:numPr>
          <w:ilvl w:val="0"/>
          <w:numId w:val="2"/>
        </w:numPr>
        <w:spacing w:after="60"/>
      </w:pPr>
      <w:r>
        <w:rPr>
          <w:rFonts w:ascii="Arial" w:cs="Arial" w:eastAsia="Arial" w:hAnsi="Arial"/>
          <w:color w:val="333333"/>
          <w:sz w:val="22"/>
          <w:szCs w:val="22"/>
        </w:rPr>
        <w:t xml:space="preserve">Upgrade constraint engine (3.4): sector limits, tracking error, cardinality</w:t>
      </w:r>
    </w:p>
    <w:p>
      <w:pPr>
        <w:spacing w:after="120"/>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Risk report showing VaR, CVaR, factor exposures, and stress test results for any portfolio</w:t>
      </w:r>
    </w:p>
    <w:p>
      <w:pPr>
        <w:spacing w:before="120"/>
      </w:pPr>
    </w:p>
    <w:p>
      <w:pPr>
        <w:pStyle w:val="Heading2"/>
        <w:spacing w:before="320" w:after="160"/>
      </w:pPr>
      <w:r>
        <w:rPr>
          <w:rFonts w:ascii="Arial" w:cs="Arial" w:eastAsia="Arial" w:hAnsi="Arial"/>
          <w:b/>
          <w:bCs/>
          <w:color w:val="2E74B5"/>
          <w:sz w:val="28"/>
          <w:szCs w:val="28"/>
        </w:rPr>
        <w:t xml:space="preserve">Sprint 5 (Weeks 13-16): Data &amp; Reporting</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Automated pipeline and investor-ready outputs.</w:t>
      </w:r>
    </w:p>
    <w:p>
      <w:pPr>
        <w:pStyle w:val="ListParagraph"/>
        <w:numPr>
          <w:ilvl w:val="0"/>
          <w:numId w:val="2"/>
        </w:numPr>
        <w:spacing w:after="60"/>
      </w:pPr>
      <w:r>
        <w:rPr>
          <w:rFonts w:ascii="Arial" w:cs="Arial" w:eastAsia="Arial" w:hAnsi="Arial"/>
          <w:color w:val="333333"/>
          <w:sz w:val="22"/>
          <w:szCs w:val="22"/>
        </w:rPr>
        <w:t xml:space="preserve">Build data pipeline (4.1) with SQLite storage, quality checks, and daily scheduling</w:t>
      </w:r>
    </w:p>
    <w:p>
      <w:pPr>
        <w:pStyle w:val="ListParagraph"/>
        <w:numPr>
          <w:ilvl w:val="0"/>
          <w:numId w:val="2"/>
        </w:numPr>
        <w:spacing w:after="60"/>
      </w:pPr>
      <w:r>
        <w:rPr>
          <w:rFonts w:ascii="Arial" w:cs="Arial" w:eastAsia="Arial" w:hAnsi="Arial"/>
          <w:color w:val="333333"/>
          <w:sz w:val="22"/>
          <w:szCs w:val="22"/>
        </w:rPr>
        <w:t xml:space="preserve">Add survivorship-bias-free universe management (4.2)</w:t>
      </w:r>
    </w:p>
    <w:p>
      <w:pPr>
        <w:pStyle w:val="ListParagraph"/>
        <w:numPr>
          <w:ilvl w:val="0"/>
          <w:numId w:val="2"/>
        </w:numPr>
        <w:spacing w:after="60"/>
      </w:pPr>
      <w:r>
        <w:rPr>
          <w:rFonts w:ascii="Arial" w:cs="Arial" w:eastAsia="Arial" w:hAnsi="Arial"/>
          <w:color w:val="333333"/>
          <w:sz w:val="22"/>
          <w:szCs w:val="22"/>
        </w:rPr>
        <w:t xml:space="preserve">Implement Brinson-Fachler performance attribution (5.1)</w:t>
      </w:r>
    </w:p>
    <w:p>
      <w:pPr>
        <w:pStyle w:val="ListParagraph"/>
        <w:numPr>
          <w:ilvl w:val="0"/>
          <w:numId w:val="2"/>
        </w:numPr>
        <w:spacing w:after="60"/>
      </w:pPr>
      <w:r>
        <w:rPr>
          <w:rFonts w:ascii="Arial" w:cs="Arial" w:eastAsia="Arial" w:hAnsi="Arial"/>
          <w:color w:val="333333"/>
          <w:sz w:val="22"/>
          <w:szCs w:val="22"/>
        </w:rPr>
        <w:t xml:space="preserve">Build Streamlit dashboard (5.2) with portfolio, performance, risk, and backtest views</w:t>
      </w:r>
    </w:p>
    <w:p>
      <w:pPr>
        <w:pStyle w:val="ListParagraph"/>
        <w:numPr>
          <w:ilvl w:val="0"/>
          <w:numId w:val="2"/>
        </w:numPr>
        <w:spacing w:after="60"/>
      </w:pPr>
      <w:r>
        <w:rPr>
          <w:rFonts w:ascii="Arial" w:cs="Arial" w:eastAsia="Arial" w:hAnsi="Arial"/>
          <w:color w:val="333333"/>
          <w:sz w:val="22"/>
          <w:szCs w:val="22"/>
        </w:rPr>
        <w:t xml:space="preserve">Add automated tear sheet generation (5.3)</w:t>
      </w:r>
    </w:p>
    <w:p>
      <w:pPr>
        <w:spacing w:after="120"/>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Live dashboard showing real portfolio with attribution, risk metrics, and downloadable tear sheet</w:t>
      </w:r>
    </w:p>
    <w:p>
      <w:r>
        <w:br w:type="page"/>
      </w:r>
    </w:p>
    <w:p>
      <w:pPr>
        <w:pStyle w:val="Heading1"/>
        <w:spacing w:before="400" w:after="200"/>
      </w:pPr>
      <w:r>
        <w:rPr>
          <w:rFonts w:ascii="Arial" w:cs="Arial" w:eastAsia="Arial" w:hAnsi="Arial"/>
          <w:b/>
          <w:bCs/>
          <w:color w:val="1B2A4A"/>
          <w:sz w:val="34"/>
          <w:szCs w:val="34"/>
        </w:rPr>
        <w:t xml:space="preserve">Summary: All 17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3560"/>
        <w:gridCol w:w="2200"/>
        <w:gridCol w:w="2500"/>
      </w:tblGrid>
      <w:tr>
        <w:trPr>
          <w:tblHeader/>
        </w:trPr>
        <w:tc>
          <w:tcPr>
            <w:tcW w:type="dxa" w:w="500"/>
            <w:tcBorders>
              <w:top w:val="single" w:color="CCCCCC" w:sz="1"/>
              <w:left w:val="single" w:color="CCCCCC" w:sz="1"/>
              <w:bottom w:val="single" w:color="CCCCCC" w:sz="1"/>
              <w:right w:val="single" w:color="CCCCCC" w:sz="1"/>
            </w:tcBorders>
            <w:shd w:fill="1B2A4A" w:val="clear"/>
          </w:tcPr>
          <w:p>
            <w:r>
              <w:rPr>
                <w:rFonts w:ascii="Arial" w:cs="Arial" w:eastAsia="Arial" w:hAnsi="Arial"/>
                <w:b/>
                <w:bCs/>
                <w:color w:val="FFFFFF"/>
                <w:sz w:val="18"/>
                <w:szCs w:val="18"/>
              </w:rPr>
              <w:t xml:space="preserve">#</w:t>
            </w:r>
          </w:p>
        </w:tc>
        <w:tc>
          <w:tcPr>
            <w:tcW w:type="dxa" w:w="600"/>
            <w:tcBorders>
              <w:top w:val="single" w:color="CCCCCC" w:sz="1"/>
              <w:left w:val="single" w:color="CCCCCC" w:sz="1"/>
              <w:bottom w:val="single" w:color="CCCCCC" w:sz="1"/>
              <w:right w:val="single" w:color="CCCCCC" w:sz="1"/>
            </w:tcBorders>
            <w:shd w:fill="1B2A4A" w:val="clear"/>
          </w:tcPr>
          <w:p>
            <w:r>
              <w:rPr>
                <w:rFonts w:ascii="Arial" w:cs="Arial" w:eastAsia="Arial" w:hAnsi="Arial"/>
                <w:b/>
                <w:bCs/>
                <w:color w:val="FFFFFF"/>
                <w:sz w:val="18"/>
                <w:szCs w:val="18"/>
              </w:rPr>
              <w:t xml:space="preserve">Pri</w:t>
            </w:r>
          </w:p>
        </w:tc>
        <w:tc>
          <w:tcPr>
            <w:tcW w:type="dxa" w:w="3560"/>
            <w:tcBorders>
              <w:top w:val="single" w:color="CCCCCC" w:sz="1"/>
              <w:left w:val="single" w:color="CCCCCC" w:sz="1"/>
              <w:bottom w:val="single" w:color="CCCCCC" w:sz="1"/>
              <w:right w:val="single" w:color="CCCCCC" w:sz="1"/>
            </w:tcBorders>
            <w:shd w:fill="1B2A4A" w:val="clea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B2A4A" w:val="clear"/>
          </w:tcPr>
          <w:p>
            <w:r>
              <w:rPr>
                <w:rFonts w:ascii="Arial" w:cs="Arial" w:eastAsia="Arial" w:hAnsi="Arial"/>
                <w:b/>
                <w:bCs/>
                <w:color w:val="FFFFFF"/>
                <w:sz w:val="18"/>
                <w:szCs w:val="18"/>
              </w:rPr>
              <w:t xml:space="preserve">Module</w:t>
            </w:r>
          </w:p>
        </w:tc>
        <w:tc>
          <w:tcPr>
            <w:tcW w:type="dxa" w:w="2500"/>
            <w:tcBorders>
              <w:top w:val="single" w:color="CCCCCC" w:sz="1"/>
              <w:left w:val="single" w:color="CCCCCC" w:sz="1"/>
              <w:bottom w:val="single" w:color="CCCCCC" w:sz="1"/>
              <w:right w:val="single" w:color="CCCCCC" w:sz="1"/>
            </w:tcBorders>
            <w:shd w:fill="1B2A4A" w:val="clear"/>
          </w:tcPr>
          <w:p>
            <w:r>
              <w:rPr>
                <w:rFonts w:ascii="Arial" w:cs="Arial" w:eastAsia="Arial" w:hAnsi="Arial"/>
                <w:b/>
                <w:bCs/>
                <w:color w:val="FFFFFF"/>
                <w:sz w:val="18"/>
                <w:szCs w:val="18"/>
              </w:rPr>
              <w:t xml:space="preserve">Sprint</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1.1</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C0392B"/>
                <w:sz w:val="18"/>
                <w:szCs w:val="18"/>
              </w:rPr>
              <w:t xml:space="preserve">P0</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Covariance Shrinkage</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Optimizer</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1</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1.2</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C0392B"/>
                <w:sz w:val="18"/>
                <w:szCs w:val="18"/>
              </w:rPr>
              <w:t xml:space="preserve">P0</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Hamiltonian Redesign</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Optimizer</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1</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1.3</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C0392B"/>
                <w:sz w:val="18"/>
                <w:szCs w:val="18"/>
              </w:rPr>
              <w:t xml:space="preserve">P0</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Regime Detection</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Optimizer</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2</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1.4</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C0392B"/>
                <w:sz w:val="18"/>
                <w:szCs w:val="18"/>
              </w:rPr>
              <w:t xml:space="preserve">P0</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Benchmark Suite</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Optimizer</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2</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2.1</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C0392B"/>
                <w:sz w:val="18"/>
                <w:szCs w:val="18"/>
              </w:rPr>
              <w:t xml:space="preserve">P0</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Walk-Forward Backtester</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Backtesting</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3</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2.2</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C0392B"/>
                <w:sz w:val="18"/>
                <w:szCs w:val="18"/>
              </w:rPr>
              <w:t xml:space="preserve">P0</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Transaction Cost Model</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Backtesting</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3</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2.3</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Statistical Significance</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Backtesting</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3</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2.4</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Metrics Suite</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Backtesting</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3</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3.1</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VaR / CVaR Engine</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Risk</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4</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3.2</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Stress Testing</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Risk</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4</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3.3</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Factor Decomposition</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Risk</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4</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3.4</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2E74B5"/>
                <w:sz w:val="18"/>
                <w:szCs w:val="18"/>
              </w:rPr>
              <w:t xml:space="preserve">P2</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Constraint Engine</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Risk</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4</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4.1</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Data Pipeline &amp; Storage</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Data</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5</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4.2</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2E74B5"/>
                <w:sz w:val="18"/>
                <w:szCs w:val="18"/>
              </w:rPr>
              <w:t xml:space="preserve">P2</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Universe Management</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Data</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5</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5.1</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Performance Attribution</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Reporting</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5</w:t>
            </w:r>
          </w:p>
        </w:tc>
      </w:tr>
      <w:tr>
        <w:tc>
          <w:tcPr>
            <w:tcW w:type="dxa" w:w="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5.2</w:t>
            </w:r>
          </w:p>
        </w:tc>
        <w:tc>
          <w:tcPr>
            <w:tcW w:type="dxa" w:w="600"/>
            <w:tcBorders>
              <w:top w:val="single" w:color="CCCCCC" w:sz="1"/>
              <w:left w:val="single" w:color="CCCCCC" w:sz="1"/>
              <w:bottom w:val="single" w:color="CCCCCC" w:sz="1"/>
              <w:right w:val="single" w:color="CCCCCC" w:sz="1"/>
            </w:tcBorders>
            <w:shd w:fill="F2F6FA" w:val="clear"/>
          </w:tcPr>
          <w:p>
            <w:r>
              <w:rPr>
                <w:rFonts w:ascii="Arial" w:cs="Arial" w:eastAsia="Arial" w:hAnsi="Arial"/>
                <w:b/>
                <w:bCs/>
                <w:color w:val="E67E22"/>
                <w:sz w:val="18"/>
                <w:szCs w:val="18"/>
              </w:rPr>
              <w:t xml:space="preserve">P1</w:t>
            </w:r>
          </w:p>
        </w:tc>
        <w:tc>
          <w:tcPr>
            <w:tcW w:type="dxa" w:w="356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Streamlit Dashboard</w:t>
            </w:r>
          </w:p>
        </w:tc>
        <w:tc>
          <w:tcPr>
            <w:tcW w:type="dxa" w:w="22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Reporting</w:t>
            </w:r>
          </w:p>
        </w:tc>
        <w:tc>
          <w:tcPr>
            <w:tcW w:type="dxa" w:w="2500"/>
            <w:tcBorders>
              <w:top w:val="single" w:color="CCCCCC" w:sz="1"/>
              <w:left w:val="single" w:color="CCCCCC" w:sz="1"/>
              <w:bottom w:val="single" w:color="CCCCCC" w:sz="1"/>
              <w:right w:val="single" w:color="CCCCCC" w:sz="1"/>
            </w:tcBorders>
            <w:shd w:fill="F2F6FA" w:val="clear"/>
          </w:tcPr>
          <w:p>
            <w:r>
              <w:rPr>
                <w:rFonts w:ascii="Arial" w:cs="Arial" w:eastAsia="Arial" w:hAnsi="Arial"/>
                <w:b w:val="false"/>
                <w:bCs w:val="false"/>
                <w:color w:val="333333"/>
                <w:sz w:val="18"/>
                <w:szCs w:val="18"/>
              </w:rPr>
              <w:t xml:space="preserve">Sprint 5</w:t>
            </w:r>
          </w:p>
        </w:tc>
      </w:tr>
      <w:tr>
        <w:tc>
          <w:tcPr>
            <w:tcW w:type="dxa" w:w="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5.3</w:t>
            </w:r>
          </w:p>
        </w:tc>
        <w:tc>
          <w:tcPr>
            <w:tcW w:type="dxa" w:w="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2E74B5"/>
                <w:sz w:val="18"/>
                <w:szCs w:val="18"/>
              </w:rPr>
              <w:t xml:space="preserve">P2</w:t>
            </w:r>
          </w:p>
        </w:tc>
        <w:tc>
          <w:tcPr>
            <w:tcW w:type="dxa" w:w="35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Automated Tear Sheets</w:t>
            </w:r>
          </w:p>
        </w:tc>
        <w:tc>
          <w:tcPr>
            <w:tcW w:type="dxa" w:w="22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Reporting</w:t>
            </w:r>
          </w:p>
        </w:tc>
        <w:tc>
          <w:tcPr>
            <w:tcW w:type="dxa" w:w="25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color w:val="333333"/>
                <w:sz w:val="18"/>
                <w:szCs w:val="18"/>
              </w:rPr>
              <w:t xml:space="preserve">Sprint 5</w:t>
            </w:r>
          </w:p>
        </w:tc>
      </w:tr>
    </w:tbl>
    <w:p>
      <w:pPr>
        <w:spacing w:before="300"/>
      </w:pPr>
    </w:p>
    <w:p>
      <w:pPr>
        <w:pBdr>
          <w:bottom w:val="single" w:color="DDDDDD" w:sz="1"/>
        </w:pBdr>
        <w:spacing w:before="200" w:after="200"/>
      </w:pPr>
    </w:p>
    <w:p>
      <w:pPr>
        <w:spacing w:after="200"/>
        <w:jc w:val="center"/>
      </w:pPr>
      <w:r>
        <w:rPr>
          <w:rFonts w:ascii="Arial" w:cs="Arial" w:eastAsia="Arial" w:hAnsi="Arial"/>
          <w:i/>
          <w:iCs/>
          <w:color w:val="999999"/>
          <w:sz w:val="18"/>
          <w:szCs w:val="18"/>
        </w:rPr>
        <w:t xml:space="preserve">Quantum Global Group  |  Core Features Spec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Quantum Global Group  |  Core Features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4"/>
      <w:szCs w:val="34"/>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2026-02-08T15:09:18.437Z</dcterms:created>
  <dcterms:modified xsi:type="dcterms:W3CDTF">2026-02-08T15:09:18.438Z</dcterms:modified>
</cp:coreProperties>
</file>

<file path=docProps/custom.xml><?xml version="1.0" encoding="utf-8"?>
<Properties xmlns="http://schemas.openxmlformats.org/officeDocument/2006/custom-properties" xmlns:vt="http://schemas.openxmlformats.org/officeDocument/2006/docPropsVTypes"/>
</file>