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Relocation and Retention Grant: extension decision</w:t>
      </w:r>
    </w:p>
    <w:p>
      <w:r>
        <w:t>To: County Workforce Board members    From: RRG evaluation    Meeting: 22 October 2026</w:t>
      </w:r>
    </w:p>
    <w:p>
      <w:r>
        <w:rPr>
          <w:b/>
        </w:rPr>
        <w:t xml:space="preserve">Recommendation: extend the RRG for a second term, 1 July 2027 to 30 June 2030. </w:t>
      </w:r>
      <w:r>
        <w:t>Both tests in the evaluation agreement are met, narrowly. The effect is +1.886 points per 1,000, 0.086 above the 1.80 bar. The parallel-movement check is -1.404, inside the 1.50 limit by 0.096. Both are compared before rounding, as section 7 requires.</w:t>
      </w:r>
    </w:p>
    <w:p>
      <w:pPr>
        <w:pStyle w:val="Heading2"/>
      </w:pPr>
      <w:r>
        <w:t>The board's measure, year by year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 1,000 residents at start of year</w:t>
            </w:r>
          </w:p>
        </w:tc>
        <w:tc>
          <w:tcPr>
            <w:tcW w:type="dxa" w:w="2160"/>
          </w:tcPr>
          <w:p>
            <w:r>
              <w:t>Check year 2022-23</w:t>
            </w:r>
          </w:p>
        </w:tc>
        <w:tc>
          <w:tcPr>
            <w:tcW w:type="dxa" w:w="2160"/>
          </w:tcPr>
          <w:p>
            <w:r>
              <w:t>Base year 2023-24</w:t>
            </w:r>
          </w:p>
        </w:tc>
        <w:tc>
          <w:tcPr>
            <w:tcW w:type="dxa" w:w="2160"/>
          </w:tcPr>
          <w:p>
            <w:r>
              <w:t>Program year 2024-25</w:t>
            </w:r>
          </w:p>
        </w:tc>
      </w:tr>
      <w:tr>
        <w:tc>
          <w:tcPr>
            <w:tcW w:type="dxa" w:w="2160"/>
          </w:tcPr>
          <w:p>
            <w:r>
              <w:t>Dallas County</w:t>
            </w:r>
          </w:p>
        </w:tc>
        <w:tc>
          <w:tcPr>
            <w:tcW w:type="dxa" w:w="2160"/>
          </w:tcPr>
          <w:p>
            <w:r>
              <w:t>-6.24</w:t>
            </w:r>
          </w:p>
        </w:tc>
        <w:tc>
          <w:tcPr>
            <w:tcW w:type="dxa" w:w="2160"/>
          </w:tcPr>
          <w:p>
            <w:r>
              <w:t>-11.15</w:t>
            </w:r>
          </w:p>
        </w:tc>
        <w:tc>
          <w:tcPr>
            <w:tcW w:type="dxa" w:w="2160"/>
          </w:tcPr>
          <w:p>
            <w:r>
              <w:t>-10.18</w:t>
            </w:r>
          </w:p>
        </w:tc>
      </w:tr>
      <w:tr>
        <w:tc>
          <w:tcPr>
            <w:tcW w:type="dxa" w:w="2160"/>
          </w:tcPr>
          <w:p>
            <w:r>
              <w:t>Rest of Texas</w:t>
            </w:r>
          </w:p>
        </w:tc>
        <w:tc>
          <w:tcPr>
            <w:tcW w:type="dxa" w:w="2160"/>
          </w:tcPr>
          <w:p>
            <w:r>
              <w:t>+13.22</w:t>
            </w:r>
          </w:p>
        </w:tc>
        <w:tc>
          <w:tcPr>
            <w:tcW w:type="dxa" w:w="2160"/>
          </w:tcPr>
          <w:p>
            <w:r>
              <w:t>+9.72</w:t>
            </w:r>
          </w:p>
        </w:tc>
        <w:tc>
          <w:tcPr>
            <w:tcW w:type="dxa" w:w="2160"/>
          </w:tcPr>
          <w:p>
            <w:r>
              <w:t>+8.80</w:t>
            </w:r>
          </w:p>
        </w:tc>
      </w:tr>
    </w:tbl>
    <w:p>
      <w:r>
        <w:t>Dallas County moved by +0.969 points from the base year to the program year; the rest of Texas moved by -0.917. The difference is the effect.</w:t>
      </w:r>
    </w:p>
    <w:p>
      <w:pPr>
        <w:pStyle w:val="Heading2"/>
      </w:pPr>
      <w:r>
        <w:t>Where the change came from</w:t>
      </w:r>
    </w:p>
    <w:p>
      <w:pPr>
        <w:pStyle w:val="ListBullet"/>
      </w:pPr>
      <w:r>
        <w:t>Dallas County: natural change -0.058, domestic migration +1.027, together +0.969 points per 1,000.</w:t>
      </w:r>
    </w:p>
    <w:p>
      <w:pPr>
        <w:pStyle w:val="ListBullet"/>
      </w:pPr>
      <w:r>
        <w:t>Rest of Texas: natural change -0.088, domestic migration -0.829, together -0.917 points per 1,000.</w:t>
      </w:r>
    </w:p>
    <w:p>
      <w:r>
        <w:t>Of the 1.886 effect, domestic migration contributes +1.856 and natural change +0.030. Dallas County's net domestic out-migration eased from 48,472 to 46,226 people while the rest of Texas's domestic gain slowed.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rg_rate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Points for members</w:t>
      </w:r>
    </w:p>
    <w:p>
      <w:pPr>
        <w:pStyle w:val="ListBullet"/>
      </w:pPr>
      <w:r>
        <w:t>Did Dallas County's growth collapse? Total population change fell from +26,620 to -2,616, almost entirely because net international migration dropped from 55,809 to 24,912. The agreement leaves international migration out; on total growth the comparison would read -4.43, which is not the board's question.</w:t>
      </w:r>
    </w:p>
    <w:p>
      <w:pPr>
        <w:pStyle w:val="ListBullet"/>
      </w:pPr>
      <w:r>
        <w:t>Rates are formed on the resident population at the start of each estimate year, the basis of the board's own calculation in Annex A: it returns Dallas -6.2, rest of Texas +13.2 and a gap of 19.5 for the check year. Census's published rate columns use the year's average population; on that basis the effect would be 1.787 and the program would lapse, but that basis does not reproduce Annex A.</w:t>
      </w:r>
    </w:p>
    <w:p>
      <w:pPr>
        <w:pStyle w:val="ListBullet"/>
      </w:pPr>
      <w:r>
        <w:t>The rest of Texas is the other 253 counties taken as one area (counts summed, then the rate formed). The Census residual is not a component of change and is left out, as is international migration.</w:t>
      </w:r>
    </w:p>
    <w:p>
      <w:pPr>
        <w:pStyle w:val="ListBullet"/>
      </w:pPr>
      <w:r>
        <w:t>Census's release notes say the 2024-25 domestic migration estimates used incomplete inputs and will be revised in Vintage 2026. The agreement fixes Vintage 2025 as published, and with a 0.086 margin a later revision could land either side of the bar.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