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Q3 2026 forecast reliability scorecard and Q4 Forecast Watch</w:t>
      </w:r>
    </w:p>
    <w:p>
      <w:pPr>
        <w:spacing w:after="160"/>
      </w:pPr>
      <w:r>
        <w:rPr>
          <w:b w:val="0"/>
          <w:sz w:val="18"/>
        </w:rPr>
        <w:t>To: grid data desk leads    From: grid data desk    Date: 6 October 2026</w:t>
      </w:r>
    </w:p>
    <w:p>
      <w:pPr>
        <w:spacing w:after="40"/>
      </w:pPr>
      <w:r>
        <w:rPr>
          <w:b/>
          <w:sz w:val="23"/>
        </w:rPr>
        <w:t>Decision</w:t>
      </w:r>
    </w:p>
    <w:p>
      <w:pPr>
        <w:spacing w:after="80"/>
      </w:pPr>
      <w:r>
        <w:rPr>
          <w:b w:val="0"/>
        </w:rPr>
        <w:t>PSCO, WALC, SWPW, SRP and LDWP go on Forecast Watch for Q4 2026, and PSCO receives the formal letter. PSCO's Q3 forecast error is 26.9%, 4.97 points above WALC at 22.0%. The Watch cut falls between LDWP in fifth place at 8.65% and CISO in sixth at 8.40%, a margin of 0.24 points. SWPW (10.0%) and SRP (9.2%) complete the list.</w:t>
      </w:r>
    </w:p>
    <w:p>
      <w:pPr>
        <w:spacing w:after="40"/>
      </w:pPr>
      <w:r>
        <w:rPr>
          <w:b/>
          <w:sz w:val="23"/>
        </w:rPr>
        <w:t>Compilation</w:t>
      </w:r>
    </w:p>
    <w:p>
      <w:pPr>
        <w:pStyle w:val="ListBullet"/>
        <w:spacing w:after="40"/>
      </w:pPr>
      <w:r>
        <w:t>Population: the 25 Western scorecard BAs reporting in Q3 2026 (the 27 on the published scorecard less WACM and WAUW, retired 1 April 2026).</w:t>
      </w:r>
    </w:p>
    <w:p>
      <w:pPr>
        <w:pStyle w:val="ListBullet"/>
        <w:spacing w:after="40"/>
      </w:pPr>
      <w:r>
        <w:t>Periods: months and quarters by the BA's reporting day (EIA-930 'Data Date'), not the UTC timestamp.</w:t>
      </w:r>
    </w:p>
    <w:p>
      <w:pPr>
        <w:pStyle w:val="ListBullet"/>
        <w:spacing w:after="40"/>
      </w:pPr>
      <w:r>
        <w:t>Scored hours: reported demand present and a day-ahead forecast above zero, less four exclusions: (1) hours in which EIA imputed demand ('Demand (MW) (Imputed)' populated); (2) forecast-flatline days, where every forecast the BA reported for the day carries one value (two or more values; NEVP 692 MW on 2 July 2026 in Q3); (3) bedding-in: the effective reporting day of each active forecast-change notice and the 13 days after it (withdrawn notices do not count; LDWP 12 to 25 September 2026 in Q3); (4) daylight-saving changeover days, the reporting days with 23 or 25 hours.</w:t>
      </w:r>
    </w:p>
    <w:p>
      <w:pPr>
        <w:pStyle w:val="ListBullet"/>
        <w:spacing w:after="40"/>
      </w:pPr>
      <w:r>
        <w:t>Measure: sum of |reported demand - day-ahead forecast| over sum of reported demand, times 100; quarters computed directly over their hours; ranked before rounding.</w:t>
      </w:r>
    </w:p>
    <w:p>
      <w:pPr>
        <w:pStyle w:val="ListBullet"/>
        <w:spacing w:after="40"/>
      </w:pPr>
      <w:r>
        <w:t>Reproduction: this compilation returns all 799 published figures (599 monthly, 200 quarterly, Q3 2024 to Q2 2026) exactly to the published decimal, as FCS-STD-2 section 5 requires (Annex A). The bedding-in length is pinned by the archive: 13 days returns 789 figures, 14 returns all 799, 15 returns 783.</w:t>
      </w:r>
    </w:p>
    <w:p>
      <w:pPr>
        <w:spacing w:after="40"/>
      </w:pPr>
      <w:r>
        <w:rPr>
          <w:b/>
          <w:sz w:val="23"/>
        </w:rPr>
        <w:t>The bedding-in reading in the migration note</w:t>
      </w:r>
    </w:p>
    <w:p>
      <w:pPr>
        <w:spacing w:after="80"/>
      </w:pPr>
      <w:r>
        <w:rPr>
          <w:b w:val="0"/>
        </w:rPr>
        <w:t>Running bedding-in to the end of the effective month, as d.whitcombe remembers, returns 779 of the 799 published figures. It misses 12 monthly and 8 quarterly figures, all in periods that contain a forecast-change notice (for example PSCO March 2025, 5.4 published against 4.5 compiled, and CISO May 2026, 11.8 against 12.2), so FCS-STD-2 section 5 bars it. On that reading LDWP's bedding-in runs from 12 to 30 September, LDWP falls to 7.67% and eighth place, and CISO at 8.40% takes fifth: CISO would go on Watch instead of LDWP, with PACE sixth at 8.22%. The formal letter would still go to PSCO.</w:t>
      </w:r>
    </w:p>
    <w:p>
      <w:r>
        <w:drawing>
          <wp:inline xmlns:a="http://schemas.openxmlformats.org/drawingml/2006/main" xmlns:pic="http://schemas.openxmlformats.org/drawingml/2006/picture">
            <wp:extent cx="6035040" cy="3138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3"/>
        </w:rPr>
        <w:t>Q3 2026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Rank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BA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Q3 %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Jul %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Aug %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Sep %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PSCO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26.9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29.3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26.1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24.9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Letter + 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WALC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22.0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12.8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30.4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23.4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SWPW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10.0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15.6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15.1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SRP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6.9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12.0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LDWP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12.8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Watch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CISO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PACE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NEVP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8.1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AZPS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6.5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6.9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BHBA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6.0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PNM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7.1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BANC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9.1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TIDC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5.4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GCPD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IID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EPE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DOPD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IPCO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4.2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SCL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2.9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NWMT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3.0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2.0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CHPD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PACW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2.2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TPWR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2.1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2.3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PGE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1.8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BPAT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1.6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1.7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  <w:t>1.4</w:t>
            </w:r>
          </w:p>
        </w:tc>
        <w:tc>
          <w:tcPr>
            <w:tcW w:type="dxa" w:w="145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>Annex A. Published figures against this compilation (799 figures, all differences 0.0)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Period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Pub.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Comp.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Diff.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Period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Pub.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Comp.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Diff.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Period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Pub.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Comp.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Diff.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SWPW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SWPW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BHBA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SWPW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2024-12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2025-12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2025Q4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15.6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17.1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BHBA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10.9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18.1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16.0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7.0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WACM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WAUW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IID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AZPS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8.2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PSCO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IPCO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BANC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SCL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LDWP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BHBA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14.8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NEVP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9.5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BPAT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SWPW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NWMT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CHPD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TIDC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2.9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CISO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11.3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TPWR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2.1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PACW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DOPD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4.7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2026Q2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WALC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35.7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1.6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EPE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3.8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2025-05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PNM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6.7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2026-04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GCPD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2.6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sz w:val="12"/>
              </w:rPr>
              <w:t>0.0</w:t>
            </w: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  <w:tc>
          <w:tcPr>
            <w:tcW w:type="dxa" w:w="680"/>
          </w:tcPr>
          <w:p>
            <w:pPr>
              <w:spacing w:after="0"/>
            </w:pP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