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0"/>
        </w:rPr>
        <w:t>MON-021 v2 threshold decision (CHG-2291)</w:t>
      </w:r>
    </w:p>
    <w:p>
      <w:pPr>
        <w:spacing w:after="160"/>
      </w:pPr>
      <w:r>
        <w:rPr>
          <w:b w:val="0"/>
          <w:i w:val="0"/>
          <w:sz w:val="19"/>
        </w:rPr>
        <w:t>To: grid-data-ops on-call leads    From: grid-data-ops    Date: 6 October 2026</w:t>
      </w:r>
    </w:p>
    <w:p>
      <w:pPr>
        <w:spacing w:after="40" w:before="160"/>
      </w:pPr>
      <w:r>
        <w:rPr>
          <w:b/>
          <w:i w:val="0"/>
          <w:sz w:val="23"/>
        </w:rPr>
        <w:t>Decision</w:t>
      </w:r>
    </w:p>
    <w:p>
      <w:pPr>
        <w:spacing w:after="80"/>
      </w:pPr>
      <w:r>
        <w:rPr>
          <w:b/>
        </w:rPr>
        <w:t xml:space="preserve">Ship MON-021 v2 at 75%. </w:t>
      </w:r>
      <w:r>
        <w:rPr>
          <w:b w:val="0"/>
        </w:rPr>
        <w:t xml:space="preserve">It is the lowest candidate that stays within the rota's triage capacity in all twelve months of the replay (October 2025 to September 2026) and that alerted on all 91 evaluated hours in which EIA later imputed demand. The month closest to capacity is May 2026: 26 pages against 30, 4 pages of headroom. </w:t>
      </w:r>
      <w:r>
        <w:rPr>
          <w:b w:val="0"/>
        </w:rPr>
        <w:t>We reject 50% and 25%, which breach capacity in 9 and 12 of 12 months, and 100% and 150%, which fit the rota but miss 1 and 34 hours that EIA had to impute.</w:t>
      </w:r>
    </w:p>
    <w:p>
      <w:pPr>
        <w:spacing w:after="40" w:before="160"/>
      </w:pPr>
      <w:r>
        <w:rPr>
          <w:b/>
          <w:i w:val="0"/>
          <w:sz w:val="23"/>
        </w:rPr>
        <w:t>How each candidate performed</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sz w:val="18"/>
              </w:rPr>
              <w:t>Threshold</w:t>
            </w:r>
          </w:p>
        </w:tc>
        <w:tc>
          <w:tcPr>
            <w:tcW w:type="dxa" w:w="1662"/>
          </w:tcPr>
          <w:p>
            <w:r>
              <w:rPr>
                <w:sz w:val="18"/>
              </w:rPr>
              <w:t>Busiest month (pages / capacity)</w:t>
            </w:r>
          </w:p>
        </w:tc>
        <w:tc>
          <w:tcPr>
            <w:tcW w:type="dxa" w:w="1662"/>
          </w:tcPr>
          <w:p>
            <w:r>
              <w:rPr>
                <w:sz w:val="18"/>
              </w:rPr>
              <w:t>Months over capacity</w:t>
            </w:r>
          </w:p>
        </w:tc>
        <w:tc>
          <w:tcPr>
            <w:tcW w:type="dxa" w:w="1662"/>
          </w:tcPr>
          <w:p>
            <w:r>
              <w:rPr>
                <w:sz w:val="18"/>
              </w:rPr>
              <w:t>First month over capacity</w:t>
            </w:r>
          </w:p>
        </w:tc>
        <w:tc>
          <w:tcPr>
            <w:tcW w:type="dxa" w:w="1662"/>
          </w:tcPr>
          <w:p>
            <w:r>
              <w:rPr>
                <w:sz w:val="18"/>
              </w:rPr>
              <w:t>EIA-imputed hours missed (of 91)</w:t>
            </w:r>
          </w:p>
        </w:tc>
        <w:tc>
          <w:tcPr>
            <w:tcW w:type="dxa" w:w="1662"/>
          </w:tcPr>
          <w:p>
            <w:r>
              <w:rPr>
                <w:sz w:val="18"/>
              </w:rPr>
              <w:t>Pages in year</w:t>
            </w:r>
          </w:p>
        </w:tc>
      </w:tr>
      <w:tr>
        <w:tc>
          <w:tcPr>
            <w:tcW w:type="dxa" w:w="1662"/>
          </w:tcPr>
          <w:p>
            <w:r>
              <w:rPr>
                <w:sz w:val="18"/>
              </w:rPr>
              <w:t>25%</w:t>
            </w:r>
          </w:p>
        </w:tc>
        <w:tc>
          <w:tcPr>
            <w:tcW w:type="dxa" w:w="1662"/>
          </w:tcPr>
          <w:p>
            <w:r>
              <w:rPr>
                <w:sz w:val="18"/>
              </w:rPr>
              <w:t>May 2026: 226 / 30</w:t>
            </w:r>
          </w:p>
        </w:tc>
        <w:tc>
          <w:tcPr>
            <w:tcW w:type="dxa" w:w="1662"/>
          </w:tcPr>
          <w:p>
            <w:r>
              <w:rPr>
                <w:sz w:val="18"/>
              </w:rPr>
              <w:t>12</w:t>
            </w:r>
          </w:p>
        </w:tc>
        <w:tc>
          <w:tcPr>
            <w:tcW w:type="dxa" w:w="1662"/>
          </w:tcPr>
          <w:p>
            <w:r>
              <w:rPr>
                <w:sz w:val="18"/>
              </w:rPr>
              <w:t>October 2025 (149 vs 30)</w:t>
            </w:r>
          </w:p>
        </w:tc>
        <w:tc>
          <w:tcPr>
            <w:tcW w:type="dxa" w:w="1662"/>
          </w:tcPr>
          <w:p>
            <w:r>
              <w:rPr>
                <w:sz w:val="18"/>
              </w:rPr>
              <w:t>0</w:t>
            </w:r>
          </w:p>
        </w:tc>
        <w:tc>
          <w:tcPr>
            <w:tcW w:type="dxa" w:w="1662"/>
          </w:tcPr>
          <w:p>
            <w:r>
              <w:rPr>
                <w:sz w:val="18"/>
              </w:rPr>
              <w:t>2,037</w:t>
            </w:r>
          </w:p>
        </w:tc>
      </w:tr>
      <w:tr>
        <w:tc>
          <w:tcPr>
            <w:tcW w:type="dxa" w:w="1662"/>
          </w:tcPr>
          <w:p>
            <w:r>
              <w:rPr>
                <w:sz w:val="18"/>
              </w:rPr>
              <w:t>50%</w:t>
            </w:r>
          </w:p>
        </w:tc>
        <w:tc>
          <w:tcPr>
            <w:tcW w:type="dxa" w:w="1662"/>
          </w:tcPr>
          <w:p>
            <w:r>
              <w:rPr>
                <w:sz w:val="18"/>
              </w:rPr>
              <w:t>May 2026: 106 / 30</w:t>
            </w:r>
          </w:p>
        </w:tc>
        <w:tc>
          <w:tcPr>
            <w:tcW w:type="dxa" w:w="1662"/>
          </w:tcPr>
          <w:p>
            <w:r>
              <w:rPr>
                <w:sz w:val="18"/>
              </w:rPr>
              <w:t>9</w:t>
            </w:r>
          </w:p>
        </w:tc>
        <w:tc>
          <w:tcPr>
            <w:tcW w:type="dxa" w:w="1662"/>
          </w:tcPr>
          <w:p>
            <w:r>
              <w:rPr>
                <w:sz w:val="18"/>
              </w:rPr>
              <w:t>January 2026 (38 vs 30)</w:t>
            </w:r>
          </w:p>
        </w:tc>
        <w:tc>
          <w:tcPr>
            <w:tcW w:type="dxa" w:w="1662"/>
          </w:tcPr>
          <w:p>
            <w:r>
              <w:rPr>
                <w:sz w:val="18"/>
              </w:rPr>
              <w:t>0</w:t>
            </w:r>
          </w:p>
        </w:tc>
        <w:tc>
          <w:tcPr>
            <w:tcW w:type="dxa" w:w="1662"/>
          </w:tcPr>
          <w:p>
            <w:r>
              <w:rPr>
                <w:sz w:val="18"/>
              </w:rPr>
              <w:t>629</w:t>
            </w:r>
          </w:p>
        </w:tc>
      </w:tr>
      <w:tr>
        <w:tc>
          <w:tcPr>
            <w:tcW w:type="dxa" w:w="1662"/>
          </w:tcPr>
          <w:p>
            <w:r>
              <w:rPr>
                <w:b/>
                <w:sz w:val="18"/>
              </w:rPr>
              <w:t>75%  (ship)</w:t>
            </w:r>
          </w:p>
        </w:tc>
        <w:tc>
          <w:tcPr>
            <w:tcW w:type="dxa" w:w="1662"/>
          </w:tcPr>
          <w:p>
            <w:r>
              <w:rPr>
                <w:b/>
                <w:sz w:val="18"/>
              </w:rPr>
              <w:t>May 2026: 26 / 30</w:t>
            </w:r>
          </w:p>
        </w:tc>
        <w:tc>
          <w:tcPr>
            <w:tcW w:type="dxa" w:w="1662"/>
          </w:tcPr>
          <w:p>
            <w:r>
              <w:rPr>
                <w:b/>
                <w:sz w:val="18"/>
              </w:rPr>
              <w:t>0</w:t>
            </w:r>
          </w:p>
        </w:tc>
        <w:tc>
          <w:tcPr>
            <w:tcW w:type="dxa" w:w="1662"/>
          </w:tcPr>
          <w:p>
            <w:r>
              <w:rPr>
                <w:b/>
                <w:sz w:val="18"/>
              </w:rPr>
              <w:t>none</w:t>
            </w:r>
          </w:p>
        </w:tc>
        <w:tc>
          <w:tcPr>
            <w:tcW w:type="dxa" w:w="1662"/>
          </w:tcPr>
          <w:p>
            <w:r>
              <w:rPr>
                <w:b/>
                <w:sz w:val="18"/>
              </w:rPr>
              <w:t>0</w:t>
            </w:r>
          </w:p>
        </w:tc>
        <w:tc>
          <w:tcPr>
            <w:tcW w:type="dxa" w:w="1662"/>
          </w:tcPr>
          <w:p>
            <w:r>
              <w:rPr>
                <w:b/>
                <w:sz w:val="18"/>
              </w:rPr>
              <w:t>187</w:t>
            </w:r>
          </w:p>
        </w:tc>
      </w:tr>
      <w:tr>
        <w:tc>
          <w:tcPr>
            <w:tcW w:type="dxa" w:w="1662"/>
          </w:tcPr>
          <w:p>
            <w:r>
              <w:rPr>
                <w:sz w:val="18"/>
              </w:rPr>
              <w:t>100%</w:t>
            </w:r>
          </w:p>
        </w:tc>
        <w:tc>
          <w:tcPr>
            <w:tcW w:type="dxa" w:w="1662"/>
          </w:tcPr>
          <w:p>
            <w:r>
              <w:rPr>
                <w:sz w:val="18"/>
              </w:rPr>
              <w:t>May 2026: 17 / 30</w:t>
            </w:r>
          </w:p>
        </w:tc>
        <w:tc>
          <w:tcPr>
            <w:tcW w:type="dxa" w:w="1662"/>
          </w:tcPr>
          <w:p>
            <w:r>
              <w:rPr>
                <w:sz w:val="18"/>
              </w:rPr>
              <w:t>0</w:t>
            </w:r>
          </w:p>
        </w:tc>
        <w:tc>
          <w:tcPr>
            <w:tcW w:type="dxa" w:w="1662"/>
          </w:tcPr>
          <w:p>
            <w:r>
              <w:rPr>
                <w:sz w:val="18"/>
              </w:rPr>
              <w:t>none</w:t>
            </w:r>
          </w:p>
        </w:tc>
        <w:tc>
          <w:tcPr>
            <w:tcW w:type="dxa" w:w="1662"/>
          </w:tcPr>
          <w:p>
            <w:r>
              <w:rPr>
                <w:sz w:val="18"/>
              </w:rPr>
              <w:t>1</w:t>
            </w:r>
          </w:p>
        </w:tc>
        <w:tc>
          <w:tcPr>
            <w:tcW w:type="dxa" w:w="1662"/>
          </w:tcPr>
          <w:p>
            <w:r>
              <w:rPr>
                <w:sz w:val="18"/>
              </w:rPr>
              <w:t>100</w:t>
            </w:r>
          </w:p>
        </w:tc>
      </w:tr>
      <w:tr>
        <w:tc>
          <w:tcPr>
            <w:tcW w:type="dxa" w:w="1662"/>
          </w:tcPr>
          <w:p>
            <w:r>
              <w:rPr>
                <w:sz w:val="18"/>
              </w:rPr>
              <w:t>150%</w:t>
            </w:r>
          </w:p>
        </w:tc>
        <w:tc>
          <w:tcPr>
            <w:tcW w:type="dxa" w:w="1662"/>
          </w:tcPr>
          <w:p>
            <w:r>
              <w:rPr>
                <w:sz w:val="18"/>
              </w:rPr>
              <w:t>March 2026: 13 / 30</w:t>
            </w:r>
          </w:p>
        </w:tc>
        <w:tc>
          <w:tcPr>
            <w:tcW w:type="dxa" w:w="1662"/>
          </w:tcPr>
          <w:p>
            <w:r>
              <w:rPr>
                <w:sz w:val="18"/>
              </w:rPr>
              <w:t>0</w:t>
            </w:r>
          </w:p>
        </w:tc>
        <w:tc>
          <w:tcPr>
            <w:tcW w:type="dxa" w:w="1662"/>
          </w:tcPr>
          <w:p>
            <w:r>
              <w:rPr>
                <w:sz w:val="18"/>
              </w:rPr>
              <w:t>none</w:t>
            </w:r>
          </w:p>
        </w:tc>
        <w:tc>
          <w:tcPr>
            <w:tcW w:type="dxa" w:w="1662"/>
          </w:tcPr>
          <w:p>
            <w:r>
              <w:rPr>
                <w:sz w:val="18"/>
              </w:rPr>
              <w:t>34</w:t>
            </w:r>
          </w:p>
        </w:tc>
        <w:tc>
          <w:tcPr>
            <w:tcW w:type="dxa" w:w="1662"/>
          </w:tcPr>
          <w:p>
            <w:r>
              <w:rPr>
                <w:sz w:val="18"/>
              </w:rPr>
              <w:t>73</w:t>
            </w:r>
          </w:p>
        </w:tc>
      </w:tr>
    </w:tbl>
    <w:p>
      <w:pPr>
        <w:spacing w:after="40"/>
      </w:pPr>
      <w:r>
        <w:rPr>
          <w:b w:val="0"/>
          <w:i w:val="0"/>
        </w:rPr>
      </w:r>
    </w:p>
    <w:p>
      <w:pPr>
        <w:spacing w:after="80"/>
      </w:pPr>
      <w:r>
        <w:rPr>
          <w:b/>
        </w:rPr>
        <w:t xml:space="preserve">The setting just below the pick, 50%, first breaks in January 2026 </w:t>
      </w:r>
      <w:r>
        <w:rPr>
          <w:b w:val="0"/>
        </w:rPr>
        <w:t xml:space="preserve">(38 pages against a capacity of 30) and stays over capacity in every month from January to September 2026, peaking at 106 pages in May 2026. </w:t>
      </w:r>
      <w:r>
        <w:rPr>
          <w:b/>
        </w:rPr>
        <w:t xml:space="preserve">The setting just above, 100%, </w:t>
      </w:r>
      <w:r>
        <w:rPr>
          <w:b w:val="0"/>
        </w:rPr>
        <w:t>misses one imputed hour: WACM, hour ending 2026-01-26 13:00 UTC, reported 7,463 MW against a day-ahead forecast of 3,733 MW. EIA imputed 3,733 MW; the deviation is 99.92%, just under the 100% line, so v2 at 100% would have stayed silent on a doubled demand value.</w:t>
      </w:r>
    </w:p>
    <w:p>
      <w:pPr>
        <w:spacing w:after="40" w:before="160"/>
      </w:pPr>
      <w:r>
        <w:rPr>
          <w:b/>
          <w:i w:val="0"/>
          <w:sz w:val="23"/>
        </w:rPr>
        <w:t>Scope: which BAs v2 evaluates</w:t>
      </w:r>
    </w:p>
    <w:p>
      <w:pPr>
        <w:spacing w:after="80"/>
      </w:pPr>
      <w:r>
        <w:rPr>
          <w:b/>
        </w:rPr>
        <w:t xml:space="preserve">v2 evaluates 47 BAs. Eight BAs stay on MON-014 only: AVA, FPC, GVL, LGEE, PSEI, SEC, SPA and TEPC. </w:t>
      </w:r>
      <w:r>
        <w:rPr>
          <w:b w:val="0"/>
        </w:rPr>
        <w:t>EIA's documentation for the EIA-930 data states that for these systems a significant share of demand sits outside their system or is controlled by other BAs through pseudo-ties and dynamic scheduling, so the comparison between actual and forecast demand is not very meaningful. Their forecasts describe a different load from the demand they report, which fails v2's scope test. Their reported numbers are not wrong; the forecast is simply not a valid reference for them. Generation-only BAs report neither demand nor a demand forecast, so v2 never evaluates them. WALC and FMPP stay in scope despite being noisy, as CHG-2291 requires: WALC is the largest source of pages at 75% (54 of 187).</w:t>
      </w:r>
    </w:p>
    <w:p>
      <w:pPr>
        <w:spacing w:after="80"/>
      </w:pPr>
      <w:r>
        <w:rPr>
          <w:b/>
        </w:rPr>
        <w:t xml:space="preserve">Of v1's 4,424 pages over the same twelve months, 1,581 (35.7%) came from those eight BAs </w:t>
      </w:r>
      <w:r>
        <w:rPr>
          <w:b w:val="0"/>
        </w:rPr>
        <w:t>(FPC 365, PSEI 365, SPA 364, SEC 245, GVL 218, TEPC 12, LGEE 9, AVA 3). FPC and PSEI paged on every day of the year. v2 at 75% would have sent 187 pages in the same period, 4,237 fewer than v1.</w:t>
      </w:r>
    </w:p>
    <w:p>
      <w:pPr>
        <w:spacing w:after="40" w:before="160"/>
      </w:pPr>
      <w:r>
        <w:rPr>
          <w:b/>
          <w:i w:val="0"/>
          <w:sz w:val="23"/>
        </w:rPr>
        <w:t>How the replay was built</w:t>
      </w:r>
    </w:p>
    <w:p>
      <w:pPr>
        <w:pStyle w:val="ListBullet"/>
        <w:spacing w:after="40"/>
      </w:pPr>
      <w:r>
        <w:t>Data: the three published EIA-930 BALANCE six-month files covering July 2025 to October 2026, stacked and keyed on BA and 'UTC Time at End of Hour' (no duplicate BA-hours across files). Only hours whose UTC end-timestamp date falls between 1 October 2025 and 30 September 2026 are replayed; the October 2026 rows in the live July-December 2026 file are outside the window.</w:t>
      </w:r>
    </w:p>
    <w:p>
      <w:pPr>
        <w:pStyle w:val="ListBullet"/>
        <w:spacing w:after="40"/>
      </w:pPr>
      <w:r>
        <w:t>Values: the reported 'Demand (MW)' column, not the adjusted series, because v2 alerts on what BAs report. An hour is evaluated only when demand is reported and the day-ahead forecast is above zero; deviation = |demand - forecast| / forecast, and an alert fires when it exceeds the threshold.</w:t>
      </w:r>
    </w:p>
    <w:p>
      <w:pPr>
        <w:pStyle w:val="ListBullet"/>
        <w:spacing w:after="40"/>
      </w:pPr>
      <w:r>
        <w:t>Paging: one page per BA per UTC date of the hour-end timestamp, counted in that date's month and compared with that month's triage capacity on the rota export (24 in December 2025, 26 in July and August 2026, 30 otherwise).</w:t>
      </w:r>
    </w:p>
    <w:p>
      <w:pPr>
        <w:pStyle w:val="ListBullet"/>
        <w:spacing w:after="40"/>
      </w:pPr>
      <w:r>
        <w:t>Recall: 91 evaluated hours have a populated 'Demand (MW) (Imputed)' value although the BA reported demand. Two further imputed FMPP hours had no day-ahead forecast, so v2 cannot evaluate them and they are outside AC3.</w:t>
      </w:r>
    </w:p>
    <w:p>
      <w:pPr>
        <w:spacing w:after="40" w:before="160"/>
      </w:pPr>
      <w:r>
        <w:rPr>
          <w:b/>
          <w:i w:val="0"/>
          <w:sz w:val="23"/>
        </w:rPr>
        <w:t>Why no other answer survives</w:t>
      </w:r>
    </w:p>
    <w:p>
      <w:pPr>
        <w:spacing w:after="80"/>
      </w:pPr>
      <w:r>
        <w:rPr>
          <w:b w:val="0"/>
          <w:i w:val="0"/>
        </w:rPr>
        <w:t>Running v2 across every BA in the feed, as v1 does, including the eight whose forecasts are not comparable, would fail every candidate: 75% would breach capacity in all 12 months (peak 85 pages), 100% in 10 months, and 150% in 6 months while missing 71 imputed hours. That 'nothing ships' result comes from forecasts that measure a different load, not from bad data, so it is not a valid reading of the change. Inside the configured scope the ranking is unambiguous: below 75% capacity binds, above 75% recall breaks, and 75% clears both. The call would flip only if May 2026's capacity fell below 26 pages, or if an imputed hour had deviated by 75% or less; the closest imputed hour in the replay deviated by 99.92%.</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