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sz w:val="30"/>
        </w:rPr>
        <w:t>MON-021 v2 go-live decision (CHG-2291)</w:t>
      </w:r>
    </w:p>
    <w:p>
      <w:pPr>
        <w:spacing w:after="160"/>
      </w:pPr>
      <w:r>
        <w:rPr>
          <w:b w:val="0"/>
          <w:sz w:val="19"/>
        </w:rPr>
        <w:t>To: grid-data-ops on-call leads    From: grid-data-ops    Date: 6 October 2026</w:t>
      </w:r>
    </w:p>
    <w:p>
      <w:pPr>
        <w:spacing w:after="40" w:before="160"/>
      </w:pPr>
      <w:r>
        <w:rPr>
          <w:b/>
          <w:sz w:val="23"/>
        </w:rPr>
        <w:t>Decision: hold. No candidate threshold can ship.</w:t>
      </w:r>
    </w:p>
    <w:p>
      <w:pPr>
        <w:spacing w:after="80"/>
      </w:pPr>
      <w:r>
        <w:rPr>
          <w:b/>
        </w:rPr>
        <w:t xml:space="preserve">MON-021 v2 does not go live at any of the five candidate thresholds, so MON-021 stays off when v1 retires and CHG-2291 goes back to staffing review. </w:t>
      </w:r>
      <w:r>
        <w:rPr>
          <w:b w:val="0"/>
        </w:rPr>
        <w:t xml:space="preserve">The binding month is May 2026. At 75%, the only candidate held back by nothing but capacity in a single month, the primary on-call would have received 40 pages in May 2026 against a triage capacity of 30: 26 from MON-021 v2 and 14 from MON-014, which starts paging oncall-primary for the BAs outside v2's scope on the day v1 retires. </w:t>
      </w:r>
      <w:r>
        <w:rPr>
          <w:b w:val="0"/>
        </w:rPr>
        <w:t>The smallest rota change that would let a candidate ship is 10 more triage pages in May 2026 (capacity 30 to 40); 75% would then pass both AC2 and AC3 and would be the lowest passing candidate. No capacity change can rescue 100% or 150%, which fail coverage.</w:t>
      </w:r>
    </w:p>
    <w:p>
      <w:pPr>
        <w:spacing w:after="40" w:before="160"/>
      </w:pPr>
      <w:r>
        <w:rPr>
          <w:b/>
          <w:sz w:val="23"/>
        </w:rPr>
        <w:t>What blocks each candidate</w:t>
      </w:r>
    </w:p>
    <w:tbl>
      <w:tblPr>
        <w:tblStyle w:val="LightGrid-Accent1"/>
        <w:tblW w:type="auto" w:w="0"/>
        <w:tblLook w:firstColumn="1" w:firstRow="1" w:lastColumn="0" w:lastRow="0" w:noHBand="0" w:noVBand="1" w:val="04A0"/>
      </w:tblPr>
      <w:tblGrid>
        <w:gridCol w:w="1994"/>
        <w:gridCol w:w="1994"/>
        <w:gridCol w:w="1994"/>
        <w:gridCol w:w="1994"/>
        <w:gridCol w:w="1994"/>
      </w:tblGrid>
      <w:tr>
        <w:tc>
          <w:tcPr>
            <w:tcW w:type="dxa" w:w="1994"/>
          </w:tcPr>
          <w:p>
            <w:r>
              <w:rPr>
                <w:sz w:val="18"/>
              </w:rPr>
              <w:t>Threshold</w:t>
            </w:r>
          </w:p>
        </w:tc>
        <w:tc>
          <w:tcPr>
            <w:tcW w:type="dxa" w:w="1994"/>
          </w:tcPr>
          <w:p>
            <w:r>
              <w:rPr>
                <w:sz w:val="18"/>
              </w:rPr>
              <w:t>Busiest month: on-call pages / capacity</w:t>
            </w:r>
          </w:p>
        </w:tc>
        <w:tc>
          <w:tcPr>
            <w:tcW w:type="dxa" w:w="1994"/>
          </w:tcPr>
          <w:p>
            <w:r>
              <w:rPr>
                <w:sz w:val="18"/>
              </w:rPr>
              <w:t>Months over capacity</w:t>
            </w:r>
          </w:p>
        </w:tc>
        <w:tc>
          <w:tcPr>
            <w:tcW w:type="dxa" w:w="1994"/>
          </w:tcPr>
          <w:p>
            <w:r>
              <w:rPr>
                <w:sz w:val="18"/>
              </w:rPr>
              <w:t>EIA-imputed hours missed (of 91)</w:t>
            </w:r>
          </w:p>
        </w:tc>
        <w:tc>
          <w:tcPr>
            <w:tcW w:type="dxa" w:w="1994"/>
          </w:tcPr>
          <w:p>
            <w:r>
              <w:rPr>
                <w:sz w:val="18"/>
              </w:rPr>
              <w:t>Blocked by</w:t>
            </w:r>
          </w:p>
        </w:tc>
      </w:tr>
      <w:tr>
        <w:tc>
          <w:tcPr>
            <w:tcW w:type="dxa" w:w="1994"/>
          </w:tcPr>
          <w:p>
            <w:r>
              <w:rPr>
                <w:sz w:val="18"/>
              </w:rPr>
              <w:t>25%</w:t>
            </w:r>
          </w:p>
        </w:tc>
        <w:tc>
          <w:tcPr>
            <w:tcW w:type="dxa" w:w="1994"/>
          </w:tcPr>
          <w:p>
            <w:r>
              <w:rPr>
                <w:sz w:val="18"/>
              </w:rPr>
              <w:t>May 2026: 240 / 30 (v2 226 + MON-014 14)</w:t>
            </w:r>
          </w:p>
        </w:tc>
        <w:tc>
          <w:tcPr>
            <w:tcW w:type="dxa" w:w="1994"/>
          </w:tcPr>
          <w:p>
            <w:r>
              <w:rPr>
                <w:sz w:val="18"/>
              </w:rPr>
              <w:t>12</w:t>
            </w:r>
          </w:p>
        </w:tc>
        <w:tc>
          <w:tcPr>
            <w:tcW w:type="dxa" w:w="1994"/>
          </w:tcPr>
          <w:p>
            <w:r>
              <w:rPr>
                <w:sz w:val="18"/>
              </w:rPr>
              <w:t>0</w:t>
            </w:r>
          </w:p>
        </w:tc>
        <w:tc>
          <w:tcPr>
            <w:tcW w:type="dxa" w:w="1994"/>
          </w:tcPr>
          <w:p>
            <w:r>
              <w:rPr>
                <w:sz w:val="18"/>
              </w:rPr>
              <w:t>capacity in every month</w:t>
            </w:r>
          </w:p>
        </w:tc>
      </w:tr>
      <w:tr>
        <w:tc>
          <w:tcPr>
            <w:tcW w:type="dxa" w:w="1994"/>
          </w:tcPr>
          <w:p>
            <w:r>
              <w:rPr>
                <w:sz w:val="18"/>
              </w:rPr>
              <w:t>50%</w:t>
            </w:r>
          </w:p>
        </w:tc>
        <w:tc>
          <w:tcPr>
            <w:tcW w:type="dxa" w:w="1994"/>
          </w:tcPr>
          <w:p>
            <w:r>
              <w:rPr>
                <w:sz w:val="18"/>
              </w:rPr>
              <w:t>May 2026: 120 / 30 (v2 106 + MON-014 14)</w:t>
            </w:r>
          </w:p>
        </w:tc>
        <w:tc>
          <w:tcPr>
            <w:tcW w:type="dxa" w:w="1994"/>
          </w:tcPr>
          <w:p>
            <w:r>
              <w:rPr>
                <w:sz w:val="18"/>
              </w:rPr>
              <w:t>10</w:t>
            </w:r>
          </w:p>
        </w:tc>
        <w:tc>
          <w:tcPr>
            <w:tcW w:type="dxa" w:w="1994"/>
          </w:tcPr>
          <w:p>
            <w:r>
              <w:rPr>
                <w:sz w:val="18"/>
              </w:rPr>
              <w:t>0</w:t>
            </w:r>
          </w:p>
        </w:tc>
        <w:tc>
          <w:tcPr>
            <w:tcW w:type="dxa" w:w="1994"/>
          </w:tcPr>
          <w:p>
            <w:r>
              <w:rPr>
                <w:sz w:val="18"/>
              </w:rPr>
              <w:t>capacity in 10 months, Dec 2025 to Sep 2026</w:t>
            </w:r>
          </w:p>
        </w:tc>
      </w:tr>
      <w:tr>
        <w:tc>
          <w:tcPr>
            <w:tcW w:type="dxa" w:w="1994"/>
          </w:tcPr>
          <w:p>
            <w:r>
              <w:rPr>
                <w:sz w:val="18"/>
              </w:rPr>
              <w:t>75%</w:t>
            </w:r>
          </w:p>
        </w:tc>
        <w:tc>
          <w:tcPr>
            <w:tcW w:type="dxa" w:w="1994"/>
          </w:tcPr>
          <w:p>
            <w:r>
              <w:rPr>
                <w:sz w:val="18"/>
              </w:rPr>
              <w:t>May 2026: 40 / 30 (v2 26 + MON-014 14)</w:t>
            </w:r>
          </w:p>
        </w:tc>
        <w:tc>
          <w:tcPr>
            <w:tcW w:type="dxa" w:w="1994"/>
          </w:tcPr>
          <w:p>
            <w:r>
              <w:rPr>
                <w:sz w:val="18"/>
              </w:rPr>
              <w:t>1</w:t>
            </w:r>
          </w:p>
        </w:tc>
        <w:tc>
          <w:tcPr>
            <w:tcW w:type="dxa" w:w="1994"/>
          </w:tcPr>
          <w:p>
            <w:r>
              <w:rPr>
                <w:sz w:val="18"/>
              </w:rPr>
              <w:t>0</w:t>
            </w:r>
          </w:p>
        </w:tc>
        <w:tc>
          <w:tcPr>
            <w:tcW w:type="dxa" w:w="1994"/>
          </w:tcPr>
          <w:p>
            <w:r>
              <w:rPr>
                <w:sz w:val="18"/>
              </w:rPr>
              <w:t>capacity in May 2026</w:t>
            </w:r>
          </w:p>
        </w:tc>
      </w:tr>
      <w:tr>
        <w:tc>
          <w:tcPr>
            <w:tcW w:type="dxa" w:w="1994"/>
          </w:tcPr>
          <w:p>
            <w:r>
              <w:rPr>
                <w:sz w:val="18"/>
              </w:rPr>
              <w:t>100%</w:t>
            </w:r>
          </w:p>
        </w:tc>
        <w:tc>
          <w:tcPr>
            <w:tcW w:type="dxa" w:w="1994"/>
          </w:tcPr>
          <w:p>
            <w:r>
              <w:rPr>
                <w:sz w:val="18"/>
              </w:rPr>
              <w:t>May 2026: 31 / 30 (v2 17 + MON-014 14)</w:t>
            </w:r>
          </w:p>
        </w:tc>
        <w:tc>
          <w:tcPr>
            <w:tcW w:type="dxa" w:w="1994"/>
          </w:tcPr>
          <w:p>
            <w:r>
              <w:rPr>
                <w:sz w:val="18"/>
              </w:rPr>
              <w:t>1</w:t>
            </w:r>
          </w:p>
        </w:tc>
        <w:tc>
          <w:tcPr>
            <w:tcW w:type="dxa" w:w="1994"/>
          </w:tcPr>
          <w:p>
            <w:r>
              <w:rPr>
                <w:sz w:val="18"/>
              </w:rPr>
              <w:t>1</w:t>
            </w:r>
          </w:p>
        </w:tc>
        <w:tc>
          <w:tcPr>
            <w:tcW w:type="dxa" w:w="1994"/>
          </w:tcPr>
          <w:p>
            <w:r>
              <w:rPr>
                <w:sz w:val="18"/>
              </w:rPr>
              <w:t>capacity in May 2026; coverage (1 missed)</w:t>
            </w:r>
          </w:p>
        </w:tc>
      </w:tr>
      <w:tr>
        <w:tc>
          <w:tcPr>
            <w:tcW w:type="dxa" w:w="1994"/>
          </w:tcPr>
          <w:p>
            <w:r>
              <w:rPr>
                <w:sz w:val="18"/>
              </w:rPr>
              <w:t>150%</w:t>
            </w:r>
          </w:p>
        </w:tc>
        <w:tc>
          <w:tcPr>
            <w:tcW w:type="dxa" w:w="1994"/>
          </w:tcPr>
          <w:p>
            <w:r>
              <w:rPr>
                <w:sz w:val="18"/>
              </w:rPr>
              <w:t>May 2026: 26 / 30 (v2 12 + MON-014 14)</w:t>
            </w:r>
          </w:p>
        </w:tc>
        <w:tc>
          <w:tcPr>
            <w:tcW w:type="dxa" w:w="1994"/>
          </w:tcPr>
          <w:p>
            <w:r>
              <w:rPr>
                <w:sz w:val="18"/>
              </w:rPr>
              <w:t>0</w:t>
            </w:r>
          </w:p>
        </w:tc>
        <w:tc>
          <w:tcPr>
            <w:tcW w:type="dxa" w:w="1994"/>
          </w:tcPr>
          <w:p>
            <w:r>
              <w:rPr>
                <w:sz w:val="18"/>
              </w:rPr>
              <w:t>34</w:t>
            </w:r>
          </w:p>
        </w:tc>
        <w:tc>
          <w:tcPr>
            <w:tcW w:type="dxa" w:w="1994"/>
          </w:tcPr>
          <w:p>
            <w:r>
              <w:rPr>
                <w:sz w:val="18"/>
              </w:rPr>
              <w:t>coverage (34 missed)</w:t>
            </w:r>
          </w:p>
        </w:tc>
      </w:tr>
    </w:tbl>
    <w:p>
      <w:pPr>
        <w:spacing w:after="40"/>
      </w:pPr>
      <w:r>
        <w:rPr>
          <w:b w:val="0"/>
        </w:rPr>
      </w:r>
    </w:p>
    <w:p>
      <w:pPr>
        <w:pStyle w:val="ListBullet"/>
        <w:spacing w:after="40"/>
      </w:pPr>
      <w:r>
        <w:t>50% first breaks in December 2025 (25 pages against a reduced capacity of 24) and stays over capacity in every month from then to September 2026, peaking at 120 in May 2026.</w:t>
      </w:r>
    </w:p>
    <w:p>
      <w:pPr>
        <w:pStyle w:val="ListBullet"/>
        <w:spacing w:after="40"/>
      </w:pPr>
      <w:r>
        <w:t>100% misses one imputed hour: WACM, hour ending 2026-01-26 13:00 UTC, reported 7,463 MW against a day-ahead forecast of 3,733 MW (EIA imputed 3,733 MW). The deviation is 99.92%, just short of the 100% line. It is also one page over capacity in May 2026 (31 vs 30).</w:t>
      </w:r>
    </w:p>
    <w:p>
      <w:pPr>
        <w:pStyle w:val="ListBullet"/>
        <w:spacing w:after="40"/>
      </w:pPr>
      <w:r>
        <w:t>150% fits the rota in every month but misses 34 imputed hours (IID 24, WACM 8, NWMT 1, PSCO 1). 29 of the 34 are zero or negative demand values; every one deviates from forecast by between 99.9% and 132.9%, inside the 150% line.</w:t>
      </w:r>
    </w:p>
    <w:p>
      <w:pPr>
        <w:spacing w:after="40" w:before="160"/>
      </w:pPr>
      <w:r>
        <w:rPr>
          <w:b/>
          <w:sz w:val="23"/>
        </w:rPr>
        <w:t>May 2026 on-call pages at 75%, by BA</w:t>
      </w:r>
    </w:p>
    <w:p>
      <w:pPr>
        <w:spacing w:after="80"/>
      </w:pPr>
      <w:r>
        <w:rPr>
          <w:b/>
        </w:rPr>
        <w:t xml:space="preserve">40 pages. </w:t>
      </w:r>
      <w:r>
        <w:rPr>
          <w:b w:val="0"/>
        </w:rPr>
        <w:t xml:space="preserve">MON-021 v2 (26): WALC 10, BANC 5, TIDC 4, IID 2, NEVP 2, AZPS 1, NWMT 1, PACE 1. MON-014 (14): SPA 8, SEC 6. </w:t>
      </w:r>
      <w:r>
        <w:rPr>
          <w:b w:val="0"/>
        </w:rPr>
        <w:t>May is MON-014's busiest month for the out-of-scope BAs, and that is what pushes it over: v2 alone stays inside capacity in every month at 75%.</w:t>
      </w:r>
    </w:p>
    <w:p>
      <w:pPr>
        <w:spacing w:after="40" w:before="160"/>
      </w:pPr>
      <w:r>
        <w:rPr>
          <w:b/>
          <w:sz w:val="23"/>
        </w:rPr>
        <w:t>Scope and the go-live paging set-up</w:t>
      </w:r>
    </w:p>
    <w:p>
      <w:pPr>
        <w:pStyle w:val="ListBullet"/>
        <w:spacing w:after="40"/>
      </w:pPr>
      <w:r>
        <w:t>MON-021 v2 evaluates 47 BAs. AVA, FPC, GVL, LGEE, PSEI, SEC, SPA and TEPC are outside its scope: EIA's EIA-930 documentation states that for these systems the day-ahead forecast includes commercial arrangements (pseudo-ties and dynamic scheduling) while reported demand is physical, so the comparison between actual and forecast demand is not very meaningful. Generation-only BAs report no demand or forecast and are never evaluated.</w:t>
      </w:r>
    </w:p>
    <w:p>
      <w:pPr>
        <w:pStyle w:val="ListBullet"/>
        <w:spacing w:after="40"/>
      </w:pPr>
      <w:r>
        <w:t>Under the scheduled change in the Sentinel export, MON-014 pages oncall-primary for those eight BAs from v1 retirement. Over the replay year it would have sent 54 on-call pages (SEC 34, SPA 17, LGEE 2, AVA 1); 48 of those page-days are zero or negative demand only, 3 are ceiling breaches only and 3 have both.</w:t>
      </w:r>
    </w:p>
    <w:p>
      <w:pPr>
        <w:pStyle w:val="ListBullet"/>
        <w:spacing w:after="40"/>
      </w:pPr>
      <w:r>
        <w:t>The back-of-envelope on the ticket is right about v2 on its own: at 75% it peaks at 26 pages in May 2026 and never breaks capacity. It leaves out the MON-014 pages that join the same rota at go-live.</w:t>
      </w:r>
    </w:p>
    <w:p>
      <w:pPr>
        <w:pStyle w:val="ListBullet"/>
        <w:spacing w:after="40"/>
      </w:pPr>
      <w:r>
        <w:t>For context, v1 sent 4,424 pages over the same twelve months, 1,581 of them from the eight out-of-scope BAs. The go-live set-up at 75% would have sent 241 (187 v2 + 54 MON-014).</w:t>
      </w:r>
    </w:p>
    <w:p>
      <w:pPr>
        <w:spacing w:after="40" w:before="160"/>
      </w:pPr>
      <w:r>
        <w:rPr>
          <w:b/>
          <w:sz w:val="23"/>
        </w:rPr>
        <w:t>How the replay was built</w:t>
      </w:r>
    </w:p>
    <w:p>
      <w:pPr>
        <w:pStyle w:val="ListBullet"/>
        <w:spacing w:after="40"/>
      </w:pPr>
      <w:r>
        <w:t>Data: the five published EIA-930 BALANCE six-month files from July 2024 to October 2026, stacked on BA and 'UTC Time at End of Hour' (no duplicate BA-hours). The two earliest files only feed MON-014's 365-day look-back. Pages are counted for UTC dates 1 October 2025 to 30 September 2026; the October 2026 rows in the live file are outside the window.</w:t>
      </w:r>
    </w:p>
    <w:p>
      <w:pPr>
        <w:pStyle w:val="ListBullet"/>
        <w:spacing w:after="40"/>
      </w:pPr>
      <w:r>
        <w:t>MON-021 v2: reported 'Demand (MW)', not the adjusted series. An hour is evaluated when demand is reported and the forecast is above zero; it alerts when |demand - forecast| / forecast exceeds the threshold.</w:t>
      </w:r>
    </w:p>
    <w:p>
      <w:pPr>
        <w:pStyle w:val="ListBullet"/>
        <w:spacing w:after="40"/>
      </w:pPr>
      <w:r>
        <w:t>MON-014: an hour is flagged when reported demand is zero or negative, or at least 1.5 times the highest unflagged demand in the previous 365 days. Flagged spikes such as SEC's 9,139,576 MW on 10 June 2026 are kept out of the ceiling history; letting them in would drop two pages (February and March 2026) without changing the decision.</w:t>
      </w:r>
    </w:p>
    <w:p>
      <w:pPr>
        <w:pStyle w:val="ListBullet"/>
        <w:spacing w:after="40"/>
      </w:pPr>
      <w:r>
        <w:t>Paging and capacity: one page per BA per UTC date for each monitor, counted in that date's month. The rota's triage capacity covers every page routed to oncall-primary (24 in December 2025, 26 in July and August 2026, 30 otherwise).</w:t>
      </w:r>
    </w:p>
    <w:p>
      <w:pPr>
        <w:pStyle w:val="ListBullet"/>
        <w:spacing w:after="40"/>
      </w:pPr>
      <w:r>
        <w:t>Coverage: 91 hours that v2 evaluates have a populated 'Demand (MW) (Imputed)' value although the BA reported demand. Two more imputed FMPP hours had no forecast, so v2 cannot evaluate them and AC3 does not apply.</w:t>
      </w:r>
    </w:p>
    <w:p>
      <w:pPr>
        <w:spacing w:after="40" w:before="160"/>
      </w:pPr>
      <w:r>
        <w:rPr>
          <w:b/>
          <w:sz w:val="23"/>
        </w:rPr>
        <w:t>Why no other conclusion holds</w:t>
      </w:r>
    </w:p>
    <w:p>
      <w:pPr>
        <w:spacing w:after="80"/>
      </w:pPr>
      <w:r>
        <w:rPr>
          <w:b w:val="0"/>
        </w:rPr>
        <w:t>Checking v2 against the rota on its own would ship 75%, but AC1 asks for the paging set-up that takes effect at go-live, and from that day the eight out-of-scope BAs page the same analyst through MON-014. Running v2 across every BA instead would also end in a hold, but for the wrong reason: forecasts that measure a different load would push every candidate up to 100% over capacity in most months. With the scope and routing as configured, below 75% capacity binds in most months, above 75% coverage fails, and 75% itself is 10 pages over in May 2026 alone. The call changes only if May 2026 capacity rises to 40 or MON-014's routing for the out-of-scope BAs is changed; the closest imputed hour sits at a 99.92% deviation, so no 75% coverage failure is close.</w:t>
      </w:r>
    </w:p>
    <w:sectPr w:rsidR="00FC693F" w:rsidRPr="0006063C" w:rsidSect="00034616">
      <w:pgSz w:w="12240" w:h="15840"/>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