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0"/>
        </w:rPr>
        <w:t>BF-0712 backfill decision (DQ-3318)</w:t>
      </w:r>
    </w:p>
    <w:p>
      <w:pPr>
        <w:spacing w:after="160"/>
      </w:pPr>
      <w:r>
        <w:rPr>
          <w:b w:val="0"/>
          <w:sz w:val="19"/>
        </w:rPr>
        <w:t>To: data governance board    From: data owner, published demand series    Date: 6 October 2026</w:t>
      </w:r>
    </w:p>
    <w:p>
      <w:pPr>
        <w:spacing w:after="40" w:before="160"/>
      </w:pPr>
      <w:r>
        <w:rPr>
          <w:b/>
          <w:sz w:val="23"/>
        </w:rPr>
        <w:t>Decision: run BF-0712 with 21 incidents removed</w:t>
      </w:r>
    </w:p>
    <w:p>
      <w:pPr>
        <w:spacing w:after="80"/>
      </w:pPr>
      <w:r>
        <w:rPr>
          <w:b/>
        </w:rPr>
        <w:t xml:space="preserve">Run BF-0712 with 21 of its 38 incidents removed. </w:t>
      </w:r>
      <w:r>
        <w:rPr>
          <w:b w:val="0"/>
        </w:rPr>
        <w:t xml:space="preserve">The amended job backfills 17 incidents covering 602 BA-hours and changes published demand by +496.7 GWh (496,736 MWh). As submitted, the job would have backfilled all 38 incidents (1,408 BA-hours) and changed published demand by -1,117.3 GWh (-1,117,283 MWh). </w:t>
      </w:r>
      <w:r>
        <w:rPr>
          <w:b w:val="0"/>
        </w:rPr>
        <w:t>Running it as submitted would have deleted more than a terawatt-hour of load that was really served. Rejecting it outright would leave 17 incidents of demand values that are plainly wrong in the published series.</w:t>
      </w:r>
    </w:p>
    <w:p>
      <w:pPr>
        <w:spacing w:after="80"/>
      </w:pPr>
      <w:r>
        <w:rPr>
          <w:b/>
        </w:rPr>
        <w:t xml:space="preserve">Why the job cannot run as submitted. </w:t>
      </w:r>
      <w:r>
        <w:rPr>
          <w:b w:val="0"/>
        </w:rPr>
        <w:t>The job treats every large gap between reported demand and the day-ahead forecast as bad demand. In 21 incidents the reported demand is right. 17 are forecast errors (613 BA-hours; the job would have changed demand by -1,411.5 GWh), and 4 are real changes in load (193 BA-hours; -202.5 GWh). DQ-STD-007 section 2 rules out backfilling either.</w:t>
      </w:r>
    </w:p>
    <w:p>
      <w:pPr>
        <w:spacing w:after="40" w:before="160"/>
      </w:pPr>
      <w:r>
        <w:rPr>
          <w:b/>
          <w:sz w:val="23"/>
        </w:rPr>
        <w:t>How each incident was decided</w:t>
      </w:r>
    </w:p>
    <w:p>
      <w:pPr>
        <w:pStyle w:val="ListBullet"/>
        <w:spacing w:after="40"/>
      </w:pPr>
      <w:r>
        <w:t>A BA's reported demand is derived from its metered net generation minus its total interchange (EIA-930 documentation). So a demand value is wrong when one of its inputs is wrong, or when the demand field itself is broken.</w:t>
      </w:r>
    </w:p>
    <w:p>
      <w:pPr>
        <w:pStyle w:val="ListBullet"/>
        <w:spacing w:after="40"/>
      </w:pPr>
      <w:r>
        <w:t>For every incident I compared reported demand, the day-ahead forecast, net generation and total interchange with the same BA's previous seven days. I also rebuilt the BA's total interchange from what each directly interconnected neighbour reported for its side of the tie (EIA-930 INTERCHANGE files; the BA's own figure is used only where a neighbour is silent).</w:t>
      </w:r>
    </w:p>
    <w:p>
      <w:pPr>
        <w:pStyle w:val="ListBullet"/>
        <w:spacing w:after="40"/>
      </w:pPr>
      <w:r>
        <w:t>Backfill when demand is reported as zero or negative for a retail BA, or when one input to demand (generation or interchange) departs from the rest of the evidence: interchange contradicted by the neighbours, or generation collapsing while neighbour-confirmed interchange stays put. A real loss of local generation would be met by more imports, not by a matching fall in load.</w:t>
      </w:r>
    </w:p>
    <w:p>
      <w:pPr>
        <w:pStyle w:val="ListBullet"/>
        <w:spacing w:after="40"/>
      </w:pPr>
      <w:r>
        <w:t>Leave as reported when demand reconciles with generation and neighbour-confirmed interchange and moves the way real load moves: storm outages with gradual restoration, cold or hot weather. Also leave it when the forecast is the outlier against its own history (stuck, collapsed, or running persistently low) while demand matches its prior week.</w:t>
      </w:r>
    </w:p>
    <w:p>
      <w:pPr>
        <w:pStyle w:val="ListBullet"/>
        <w:spacing w:after="40"/>
      </w:pPr>
      <w:r>
        <w:t>EIA's imputation flags do not settle these incidents. EIA imputes demand only when it is blank, zero, negative or at least 1.5 times the BA's past maximum, and it imputed just 36 of the 602 hours backfilled here.</w:t>
      </w:r>
    </w:p>
    <w:p>
      <w:pPr>
        <w:spacing w:after="40" w:before="160"/>
      </w:pPr>
      <w:r>
        <w:rPr>
          <w:b/>
          <w:sz w:val="23"/>
        </w:rPr>
        <w:t>Incident by incident</w:t>
      </w:r>
    </w:p>
    <w:tbl>
      <w:tblPr>
        <w:tblStyle w:val="LightGrid-Accent1"/>
        <w:tblW w:type="auto" w:w="0"/>
        <w:tblLook w:firstColumn="1" w:firstRow="1" w:lastColumn="0" w:lastRow="0" w:noHBand="0" w:noVBand="1" w:val="04A0"/>
      </w:tblPr>
      <w:tblGrid>
        <w:gridCol w:w="1700"/>
        <w:gridCol w:w="1700"/>
        <w:gridCol w:w="1700"/>
        <w:gridCol w:w="1700"/>
        <w:gridCol w:w="1700"/>
        <w:gridCol w:w="1700"/>
      </w:tblGrid>
      <w:tr>
        <w:tc>
          <w:tcPr>
            <w:tcW w:type="dxa" w:w="1700"/>
          </w:tcPr>
          <w:p>
            <w:pPr>
              <w:spacing w:after="0"/>
            </w:pPr>
            <w:r>
              <w:rPr>
                <w:sz w:val="15"/>
              </w:rPr>
              <w:t>Incident</w:t>
            </w:r>
          </w:p>
        </w:tc>
        <w:tc>
          <w:tcPr>
            <w:tcW w:type="dxa" w:w="1700"/>
          </w:tcPr>
          <w:p>
            <w:pPr>
              <w:spacing w:after="0"/>
            </w:pPr>
            <w:r>
              <w:rPr>
                <w:sz w:val="15"/>
              </w:rPr>
              <w:t>BA, first hour (UTC), hours</w:t>
            </w:r>
          </w:p>
        </w:tc>
        <w:tc>
          <w:tcPr>
            <w:tcW w:type="dxa" w:w="1700"/>
          </w:tcPr>
          <w:p>
            <w:pPr>
              <w:spacing w:after="0"/>
            </w:pPr>
            <w:r>
              <w:rPr>
                <w:sz w:val="15"/>
              </w:rPr>
              <w:t>Verdict</w:t>
            </w:r>
          </w:p>
        </w:tc>
        <w:tc>
          <w:tcPr>
            <w:tcW w:type="dxa" w:w="1700"/>
          </w:tcPr>
          <w:p>
            <w:pPr>
              <w:spacing w:after="0"/>
            </w:pPr>
            <w:r>
              <w:rPr>
                <w:sz w:val="15"/>
              </w:rPr>
              <w:t>Submitted / applied (MWh)</w:t>
            </w:r>
          </w:p>
        </w:tc>
        <w:tc>
          <w:tcPr>
            <w:tcW w:type="dxa" w:w="1700"/>
          </w:tcPr>
          <w:p>
            <w:pPr>
              <w:spacing w:after="0"/>
            </w:pPr>
            <w:r>
              <w:rPr>
                <w:sz w:val="15"/>
              </w:rPr>
              <w:t>Demand vs prior week; forecast; interchange own vs neighbours (MW, medians)</w:t>
            </w:r>
          </w:p>
        </w:tc>
        <w:tc>
          <w:tcPr>
            <w:tcW w:type="dxa" w:w="1700"/>
          </w:tcPr>
          <w:p>
            <w:pPr>
              <w:spacing w:after="0"/>
            </w:pPr>
            <w:r>
              <w:rPr>
                <w:sz w:val="15"/>
              </w:rPr>
              <w:t>What settles it</w:t>
            </w:r>
          </w:p>
        </w:tc>
      </w:tr>
      <w:tr>
        <w:tc>
          <w:tcPr>
            <w:tcW w:type="dxa" w:w="1700"/>
          </w:tcPr>
          <w:p>
            <w:pPr>
              <w:spacing w:after="0"/>
            </w:pPr>
            <w:r>
              <w:rPr>
                <w:sz w:val="15"/>
              </w:rPr>
              <w:t>01</w:t>
            </w:r>
          </w:p>
        </w:tc>
        <w:tc>
          <w:tcPr>
            <w:tcW w:type="dxa" w:w="1700"/>
          </w:tcPr>
          <w:p>
            <w:pPr>
              <w:spacing w:after="0"/>
            </w:pPr>
            <w:r>
              <w:rPr>
                <w:sz w:val="15"/>
              </w:rPr>
              <w:t>CPLW, 2024-09-27 11:00, 66h</w:t>
            </w:r>
          </w:p>
        </w:tc>
        <w:tc>
          <w:tcPr>
            <w:tcW w:type="dxa" w:w="1700"/>
          </w:tcPr>
          <w:p>
            <w:pPr>
              <w:spacing w:after="0"/>
            </w:pPr>
            <w:r>
              <w:rPr>
                <w:sz w:val="15"/>
              </w:rPr>
              <w:t>Leave (real load)</w:t>
            </w:r>
          </w:p>
        </w:tc>
        <w:tc>
          <w:tcPr>
            <w:tcW w:type="dxa" w:w="1700"/>
          </w:tcPr>
          <w:p>
            <w:pPr>
              <w:spacing w:after="0"/>
            </w:pPr>
            <w:r>
              <w:rPr>
                <w:sz w:val="15"/>
              </w:rPr>
              <w:t>21,022 / 0</w:t>
            </w:r>
          </w:p>
        </w:tc>
        <w:tc>
          <w:tcPr>
            <w:tcW w:type="dxa" w:w="1700"/>
          </w:tcPr>
          <w:p>
            <w:pPr>
              <w:spacing w:after="0"/>
            </w:pPr>
            <w:r>
              <w:rPr>
                <w:sz w:val="15"/>
              </w:rPr>
              <w:t>D 86 vs 518; DF 423; NG 66 vs 329; TI -22 / -22</w:t>
            </w:r>
          </w:p>
        </w:tc>
        <w:tc>
          <w:tcPr>
            <w:tcW w:type="dxa" w:w="1700"/>
          </w:tcPr>
          <w:p>
            <w:pPr>
              <w:spacing w:after="0"/>
            </w:pPr>
            <w:r>
              <w:rPr>
                <w:sz w:val="15"/>
              </w:rPr>
              <w:t>Hurricane Helene outage: demand, generation and neighbour-confirmed interchange fall together, then recover over days</w:t>
            </w:r>
          </w:p>
        </w:tc>
      </w:tr>
      <w:tr>
        <w:tc>
          <w:tcPr>
            <w:tcW w:type="dxa" w:w="1700"/>
          </w:tcPr>
          <w:p>
            <w:pPr>
              <w:spacing w:after="0"/>
            </w:pPr>
            <w:r>
              <w:rPr>
                <w:sz w:val="15"/>
              </w:rPr>
              <w:t>02</w:t>
            </w:r>
          </w:p>
        </w:tc>
        <w:tc>
          <w:tcPr>
            <w:tcW w:type="dxa" w:w="1700"/>
          </w:tcPr>
          <w:p>
            <w:pPr>
              <w:spacing w:after="0"/>
            </w:pPr>
            <w:r>
              <w:rPr>
                <w:sz w:val="15"/>
              </w:rPr>
              <w:t>IID, 2024-10-12 08:00, 24h</w:t>
            </w:r>
          </w:p>
        </w:tc>
        <w:tc>
          <w:tcPr>
            <w:tcW w:type="dxa" w:w="1700"/>
          </w:tcPr>
          <w:p>
            <w:pPr>
              <w:spacing w:after="0"/>
            </w:pPr>
            <w:r>
              <w:rPr>
                <w:sz w:val="15"/>
              </w:rPr>
              <w:t>Backfill</w:t>
            </w:r>
          </w:p>
        </w:tc>
        <w:tc>
          <w:tcPr>
            <w:tcW w:type="dxa" w:w="1700"/>
          </w:tcPr>
          <w:p>
            <w:pPr>
              <w:spacing w:after="0"/>
            </w:pPr>
            <w:r>
              <w:rPr>
                <w:sz w:val="15"/>
              </w:rPr>
              <w:t>11,765 / 11,765</w:t>
            </w:r>
          </w:p>
        </w:tc>
        <w:tc>
          <w:tcPr>
            <w:tcW w:type="dxa" w:w="1700"/>
          </w:tcPr>
          <w:p>
            <w:pPr>
              <w:spacing w:after="0"/>
            </w:pPr>
            <w:r>
              <w:rPr>
                <w:sz w:val="15"/>
              </w:rPr>
              <w:t>D -0 vs 549; DF 456; NG 98 vs 626; TI 467 / 124</w:t>
            </w:r>
          </w:p>
        </w:tc>
        <w:tc>
          <w:tcPr>
            <w:tcW w:type="dxa" w:w="1700"/>
          </w:tcPr>
          <w:p>
            <w:pPr>
              <w:spacing w:after="0"/>
            </w:pPr>
            <w:r>
              <w:rPr>
                <w:sz w:val="15"/>
              </w:rPr>
              <w:t>demand reported at about zero while the BA's own generation and interchange show load being served</w:t>
            </w:r>
          </w:p>
        </w:tc>
      </w:tr>
      <w:tr>
        <w:tc>
          <w:tcPr>
            <w:tcW w:type="dxa" w:w="1700"/>
          </w:tcPr>
          <w:p>
            <w:pPr>
              <w:spacing w:after="0"/>
            </w:pPr>
            <w:r>
              <w:rPr>
                <w:sz w:val="15"/>
              </w:rPr>
              <w:t>03</w:t>
            </w:r>
          </w:p>
        </w:tc>
        <w:tc>
          <w:tcPr>
            <w:tcW w:type="dxa" w:w="1700"/>
          </w:tcPr>
          <w:p>
            <w:pPr>
              <w:spacing w:after="0"/>
            </w:pPr>
            <w:r>
              <w:rPr>
                <w:sz w:val="15"/>
              </w:rPr>
              <w:t>IID, 2024-11-03 08:00, 25h</w:t>
            </w:r>
          </w:p>
        </w:tc>
        <w:tc>
          <w:tcPr>
            <w:tcW w:type="dxa" w:w="1700"/>
          </w:tcPr>
          <w:p>
            <w:pPr>
              <w:spacing w:after="0"/>
            </w:pPr>
            <w:r>
              <w:rPr>
                <w:sz w:val="15"/>
              </w:rPr>
              <w:t>Backfill</w:t>
            </w:r>
          </w:p>
        </w:tc>
        <w:tc>
          <w:tcPr>
            <w:tcW w:type="dxa" w:w="1700"/>
          </w:tcPr>
          <w:p>
            <w:pPr>
              <w:spacing w:after="0"/>
            </w:pPr>
            <w:r>
              <w:rPr>
                <w:sz w:val="15"/>
              </w:rPr>
              <w:t>6,885 / 6,885</w:t>
            </w:r>
          </w:p>
        </w:tc>
        <w:tc>
          <w:tcPr>
            <w:tcW w:type="dxa" w:w="1700"/>
          </w:tcPr>
          <w:p>
            <w:pPr>
              <w:spacing w:after="0"/>
            </w:pPr>
            <w:r>
              <w:rPr>
                <w:sz w:val="15"/>
              </w:rPr>
              <w:t>D 0 vs 324; DF 264; NG 0 vs 498; TI 0 / 265</w:t>
            </w:r>
          </w:p>
        </w:tc>
        <w:tc>
          <w:tcPr>
            <w:tcW w:type="dxa" w:w="1700"/>
          </w:tcPr>
          <w:p>
            <w:pPr>
              <w:spacing w:after="0"/>
            </w:pPr>
            <w:r>
              <w:rPr>
                <w:sz w:val="15"/>
              </w:rPr>
              <w:t>demand, generation and interchange all reported as zero for a full day while neighbours report flows into IID</w:t>
            </w:r>
          </w:p>
        </w:tc>
      </w:tr>
      <w:tr>
        <w:tc>
          <w:tcPr>
            <w:tcW w:type="dxa" w:w="1700"/>
          </w:tcPr>
          <w:p>
            <w:pPr>
              <w:spacing w:after="0"/>
            </w:pPr>
            <w:r>
              <w:rPr>
                <w:sz w:val="15"/>
              </w:rPr>
              <w:t>04</w:t>
            </w:r>
          </w:p>
        </w:tc>
        <w:tc>
          <w:tcPr>
            <w:tcW w:type="dxa" w:w="1700"/>
          </w:tcPr>
          <w:p>
            <w:pPr>
              <w:spacing w:after="0"/>
            </w:pPr>
            <w:r>
              <w:rPr>
                <w:sz w:val="15"/>
              </w:rPr>
              <w:t>LDWP, 2024-11-17 04:00, 28h</w:t>
            </w:r>
          </w:p>
        </w:tc>
        <w:tc>
          <w:tcPr>
            <w:tcW w:type="dxa" w:w="1700"/>
          </w:tcPr>
          <w:p>
            <w:pPr>
              <w:spacing w:after="0"/>
            </w:pPr>
            <w:r>
              <w:rPr>
                <w:sz w:val="15"/>
              </w:rPr>
              <w:t>Backfill</w:t>
            </w:r>
          </w:p>
        </w:tc>
        <w:tc>
          <w:tcPr>
            <w:tcW w:type="dxa" w:w="1700"/>
          </w:tcPr>
          <w:p>
            <w:pPr>
              <w:spacing w:after="0"/>
            </w:pPr>
            <w:r>
              <w:rPr>
                <w:sz w:val="15"/>
              </w:rPr>
              <w:t>45,642 / 45,642</w:t>
            </w:r>
          </w:p>
        </w:tc>
        <w:tc>
          <w:tcPr>
            <w:tcW w:type="dxa" w:w="1700"/>
          </w:tcPr>
          <w:p>
            <w:pPr>
              <w:spacing w:after="0"/>
            </w:pPr>
            <w:r>
              <w:rPr>
                <w:sz w:val="15"/>
              </w:rPr>
              <w:t>D 730 vs 2,378; DF 2,272; NG 324 vs 2,078; TI -448 / -448</w:t>
            </w:r>
          </w:p>
        </w:tc>
        <w:tc>
          <w:tcPr>
            <w:tcW w:type="dxa" w:w="1700"/>
          </w:tcPr>
          <w:p>
            <w:pPr>
              <w:spacing w:after="0"/>
            </w:pPr>
            <w:r>
              <w:rPr>
                <w:sz w:val="15"/>
              </w:rPr>
              <w:t>generation reading collapses while interchange (confirmed by neighbours) is unchanged, so demand is understated</w:t>
            </w:r>
          </w:p>
        </w:tc>
      </w:tr>
      <w:tr>
        <w:tc>
          <w:tcPr>
            <w:tcW w:type="dxa" w:w="1700"/>
          </w:tcPr>
          <w:p>
            <w:pPr>
              <w:spacing w:after="0"/>
            </w:pPr>
            <w:r>
              <w:rPr>
                <w:sz w:val="15"/>
              </w:rPr>
              <w:t>05</w:t>
            </w:r>
          </w:p>
        </w:tc>
        <w:tc>
          <w:tcPr>
            <w:tcW w:type="dxa" w:w="1700"/>
          </w:tcPr>
          <w:p>
            <w:pPr>
              <w:spacing w:after="0"/>
            </w:pPr>
            <w:r>
              <w:rPr>
                <w:sz w:val="15"/>
              </w:rPr>
              <w:t>IID, 2024-11-22 09:00, 24h</w:t>
            </w:r>
          </w:p>
        </w:tc>
        <w:tc>
          <w:tcPr>
            <w:tcW w:type="dxa" w:w="1700"/>
          </w:tcPr>
          <w:p>
            <w:pPr>
              <w:spacing w:after="0"/>
            </w:pPr>
            <w:r>
              <w:rPr>
                <w:sz w:val="15"/>
              </w:rPr>
              <w:t>Backfill</w:t>
            </w:r>
          </w:p>
        </w:tc>
        <w:tc>
          <w:tcPr>
            <w:tcW w:type="dxa" w:w="1700"/>
          </w:tcPr>
          <w:p>
            <w:pPr>
              <w:spacing w:after="0"/>
            </w:pPr>
            <w:r>
              <w:rPr>
                <w:sz w:val="15"/>
              </w:rPr>
              <w:t>7,125 / 7,125</w:t>
            </w:r>
          </w:p>
        </w:tc>
        <w:tc>
          <w:tcPr>
            <w:tcW w:type="dxa" w:w="1700"/>
          </w:tcPr>
          <w:p>
            <w:pPr>
              <w:spacing w:after="0"/>
            </w:pPr>
            <w:r>
              <w:rPr>
                <w:sz w:val="15"/>
              </w:rPr>
              <w:t>D 0 vs 292; DF 301; NG 0 vs 460; TI 0 / 312</w:t>
            </w:r>
          </w:p>
        </w:tc>
        <w:tc>
          <w:tcPr>
            <w:tcW w:type="dxa" w:w="1700"/>
          </w:tcPr>
          <w:p>
            <w:pPr>
              <w:spacing w:after="0"/>
            </w:pPr>
            <w:r>
              <w:rPr>
                <w:sz w:val="15"/>
              </w:rPr>
              <w:t>demand, generation and interchange all reported as zero while neighbours report flows into IID</w:t>
            </w:r>
          </w:p>
        </w:tc>
      </w:tr>
      <w:tr>
        <w:tc>
          <w:tcPr>
            <w:tcW w:type="dxa" w:w="1700"/>
          </w:tcPr>
          <w:p>
            <w:pPr>
              <w:spacing w:after="0"/>
            </w:pPr>
            <w:r>
              <w:rPr>
                <w:sz w:val="15"/>
              </w:rPr>
              <w:t>06</w:t>
            </w:r>
          </w:p>
        </w:tc>
        <w:tc>
          <w:tcPr>
            <w:tcW w:type="dxa" w:w="1700"/>
          </w:tcPr>
          <w:p>
            <w:pPr>
              <w:spacing w:after="0"/>
            </w:pPr>
            <w:r>
              <w:rPr>
                <w:sz w:val="15"/>
              </w:rPr>
              <w:t>IID, 2024-12-20 09:00, 24h</w:t>
            </w:r>
          </w:p>
        </w:tc>
        <w:tc>
          <w:tcPr>
            <w:tcW w:type="dxa" w:w="1700"/>
          </w:tcPr>
          <w:p>
            <w:pPr>
              <w:spacing w:after="0"/>
            </w:pPr>
            <w:r>
              <w:rPr>
                <w:sz w:val="15"/>
              </w:rPr>
              <w:t>Backfill</w:t>
            </w:r>
          </w:p>
        </w:tc>
        <w:tc>
          <w:tcPr>
            <w:tcW w:type="dxa" w:w="1700"/>
          </w:tcPr>
          <w:p>
            <w:pPr>
              <w:spacing w:after="0"/>
            </w:pPr>
            <w:r>
              <w:rPr>
                <w:sz w:val="15"/>
              </w:rPr>
              <w:t>7,389 / 7,389</w:t>
            </w:r>
          </w:p>
        </w:tc>
        <w:tc>
          <w:tcPr>
            <w:tcW w:type="dxa" w:w="1700"/>
          </w:tcPr>
          <w:p>
            <w:pPr>
              <w:spacing w:after="0"/>
            </w:pPr>
            <w:r>
              <w:rPr>
                <w:sz w:val="15"/>
              </w:rPr>
              <w:t>D 0 vs 308; DF 314; NG 0 vs 504; TI 0 / 274</w:t>
            </w:r>
          </w:p>
        </w:tc>
        <w:tc>
          <w:tcPr>
            <w:tcW w:type="dxa" w:w="1700"/>
          </w:tcPr>
          <w:p>
            <w:pPr>
              <w:spacing w:after="0"/>
            </w:pPr>
            <w:r>
              <w:rPr>
                <w:sz w:val="15"/>
              </w:rPr>
              <w:t>demand, generation and interchange all reported as zero while neighbours report flows into IID</w:t>
            </w:r>
          </w:p>
        </w:tc>
      </w:tr>
      <w:tr>
        <w:tc>
          <w:tcPr>
            <w:tcW w:type="dxa" w:w="1700"/>
          </w:tcPr>
          <w:p>
            <w:pPr>
              <w:spacing w:after="0"/>
            </w:pPr>
            <w:r>
              <w:rPr>
                <w:sz w:val="15"/>
              </w:rPr>
              <w:t>07</w:t>
            </w:r>
          </w:p>
        </w:tc>
        <w:tc>
          <w:tcPr>
            <w:tcW w:type="dxa" w:w="1700"/>
          </w:tcPr>
          <w:p>
            <w:pPr>
              <w:spacing w:after="0"/>
            </w:pPr>
            <w:r>
              <w:rPr>
                <w:sz w:val="15"/>
              </w:rPr>
              <w:t>WAUW, 2025-02-10 19:00, 53h</w:t>
            </w:r>
          </w:p>
        </w:tc>
        <w:tc>
          <w:tcPr>
            <w:tcW w:type="dxa" w:w="1700"/>
          </w:tcPr>
          <w:p>
            <w:pPr>
              <w:spacing w:after="0"/>
            </w:pPr>
            <w:r>
              <w:rPr>
                <w:sz w:val="15"/>
              </w:rPr>
              <w:t>Leave (forecast error)</w:t>
            </w:r>
          </w:p>
        </w:tc>
        <w:tc>
          <w:tcPr>
            <w:tcW w:type="dxa" w:w="1700"/>
          </w:tcPr>
          <w:p>
            <w:pPr>
              <w:spacing w:after="0"/>
            </w:pPr>
            <w:r>
              <w:rPr>
                <w:sz w:val="15"/>
              </w:rPr>
              <w:t>-2,335 / 0</w:t>
            </w:r>
          </w:p>
        </w:tc>
        <w:tc>
          <w:tcPr>
            <w:tcW w:type="dxa" w:w="1700"/>
          </w:tcPr>
          <w:p>
            <w:pPr>
              <w:spacing w:after="0"/>
            </w:pPr>
            <w:r>
              <w:rPr>
                <w:sz w:val="15"/>
              </w:rPr>
              <w:t>D 124 vs 118; DF 82; NG 63 vs 63; TI -62 / -62</w:t>
            </w:r>
          </w:p>
        </w:tc>
        <w:tc>
          <w:tcPr>
            <w:tcW w:type="dxa" w:w="1700"/>
          </w:tcPr>
          <w:p>
            <w:pPr>
              <w:spacing w:after="0"/>
            </w:pPr>
            <w:r>
              <w:rPr>
                <w:sz w:val="15"/>
              </w:rPr>
              <w:t>demand in line with its prior week and neighbour-confirmed; the day-ahead forecast is the outlier</w:t>
            </w:r>
          </w:p>
        </w:tc>
      </w:tr>
      <w:tr>
        <w:tc>
          <w:tcPr>
            <w:tcW w:type="dxa" w:w="1700"/>
          </w:tcPr>
          <w:p>
            <w:pPr>
              <w:spacing w:after="0"/>
            </w:pPr>
            <w:r>
              <w:rPr>
                <w:sz w:val="15"/>
              </w:rPr>
              <w:t>08</w:t>
            </w:r>
          </w:p>
        </w:tc>
        <w:tc>
          <w:tcPr>
            <w:tcW w:type="dxa" w:w="1700"/>
          </w:tcPr>
          <w:p>
            <w:pPr>
              <w:spacing w:after="0"/>
            </w:pPr>
            <w:r>
              <w:rPr>
                <w:sz w:val="15"/>
              </w:rPr>
              <w:t>IID, 2025-02-26 09:00, 24h</w:t>
            </w:r>
          </w:p>
        </w:tc>
        <w:tc>
          <w:tcPr>
            <w:tcW w:type="dxa" w:w="1700"/>
          </w:tcPr>
          <w:p>
            <w:pPr>
              <w:spacing w:after="0"/>
            </w:pPr>
            <w:r>
              <w:rPr>
                <w:sz w:val="15"/>
              </w:rPr>
              <w:t>Backfill</w:t>
            </w:r>
          </w:p>
        </w:tc>
        <w:tc>
          <w:tcPr>
            <w:tcW w:type="dxa" w:w="1700"/>
          </w:tcPr>
          <w:p>
            <w:pPr>
              <w:spacing w:after="0"/>
            </w:pPr>
            <w:r>
              <w:rPr>
                <w:sz w:val="15"/>
              </w:rPr>
              <w:t>8,585 / 8,585</w:t>
            </w:r>
          </w:p>
        </w:tc>
        <w:tc>
          <w:tcPr>
            <w:tcW w:type="dxa" w:w="1700"/>
          </w:tcPr>
          <w:p>
            <w:pPr>
              <w:spacing w:after="0"/>
            </w:pPr>
            <w:r>
              <w:rPr>
                <w:sz w:val="15"/>
              </w:rPr>
              <w:t>D 0 vs 302; DF 340; NG 0 vs 592; TI 0 / 271</w:t>
            </w:r>
          </w:p>
        </w:tc>
        <w:tc>
          <w:tcPr>
            <w:tcW w:type="dxa" w:w="1700"/>
          </w:tcPr>
          <w:p>
            <w:pPr>
              <w:spacing w:after="0"/>
            </w:pPr>
            <w:r>
              <w:rPr>
                <w:sz w:val="15"/>
              </w:rPr>
              <w:t>demand, generation and interchange all reported as zero while neighbours report flows into IID</w:t>
            </w:r>
          </w:p>
        </w:tc>
      </w:tr>
      <w:tr>
        <w:tc>
          <w:tcPr>
            <w:tcW w:type="dxa" w:w="1700"/>
          </w:tcPr>
          <w:p>
            <w:pPr>
              <w:spacing w:after="0"/>
            </w:pPr>
            <w:r>
              <w:rPr>
                <w:sz w:val="15"/>
              </w:rPr>
              <w:t>09</w:t>
            </w:r>
          </w:p>
        </w:tc>
        <w:tc>
          <w:tcPr>
            <w:tcW w:type="dxa" w:w="1700"/>
          </w:tcPr>
          <w:p>
            <w:pPr>
              <w:spacing w:after="0"/>
            </w:pPr>
            <w:r>
              <w:rPr>
                <w:sz w:val="15"/>
              </w:rPr>
              <w:t>IID, 2025-04-25 08:00, 24h</w:t>
            </w:r>
          </w:p>
        </w:tc>
        <w:tc>
          <w:tcPr>
            <w:tcW w:type="dxa" w:w="1700"/>
          </w:tcPr>
          <w:p>
            <w:pPr>
              <w:spacing w:after="0"/>
            </w:pPr>
            <w:r>
              <w:rPr>
                <w:sz w:val="15"/>
              </w:rPr>
              <w:t>Backfill</w:t>
            </w:r>
          </w:p>
        </w:tc>
        <w:tc>
          <w:tcPr>
            <w:tcW w:type="dxa" w:w="1700"/>
          </w:tcPr>
          <w:p>
            <w:pPr>
              <w:spacing w:after="0"/>
            </w:pPr>
            <w:r>
              <w:rPr>
                <w:sz w:val="15"/>
              </w:rPr>
              <w:t>8,120 / 8,120</w:t>
            </w:r>
          </w:p>
        </w:tc>
        <w:tc>
          <w:tcPr>
            <w:tcW w:type="dxa" w:w="1700"/>
          </w:tcPr>
          <w:p>
            <w:pPr>
              <w:spacing w:after="0"/>
            </w:pPr>
            <w:r>
              <w:rPr>
                <w:sz w:val="15"/>
              </w:rPr>
              <w:t>D 0 vs 332; DF 332; NG 0 vs 734; TI 0 / 400</w:t>
            </w:r>
          </w:p>
        </w:tc>
        <w:tc>
          <w:tcPr>
            <w:tcW w:type="dxa" w:w="1700"/>
          </w:tcPr>
          <w:p>
            <w:pPr>
              <w:spacing w:after="0"/>
            </w:pPr>
            <w:r>
              <w:rPr>
                <w:sz w:val="15"/>
              </w:rPr>
              <w:t>demand, generation and interchange all reported as zero while neighbours report flows into IID</w:t>
            </w:r>
          </w:p>
        </w:tc>
      </w:tr>
      <w:tr>
        <w:tc>
          <w:tcPr>
            <w:tcW w:type="dxa" w:w="1700"/>
          </w:tcPr>
          <w:p>
            <w:pPr>
              <w:spacing w:after="0"/>
            </w:pPr>
            <w:r>
              <w:rPr>
                <w:sz w:val="15"/>
              </w:rPr>
              <w:t>10</w:t>
            </w:r>
          </w:p>
        </w:tc>
        <w:tc>
          <w:tcPr>
            <w:tcW w:type="dxa" w:w="1700"/>
          </w:tcPr>
          <w:p>
            <w:pPr>
              <w:spacing w:after="0"/>
            </w:pPr>
            <w:r>
              <w:rPr>
                <w:sz w:val="15"/>
              </w:rPr>
              <w:t>WAUW, 2025-07-01 17:00, 37h</w:t>
            </w:r>
          </w:p>
        </w:tc>
        <w:tc>
          <w:tcPr>
            <w:tcW w:type="dxa" w:w="1700"/>
          </w:tcPr>
          <w:p>
            <w:pPr>
              <w:spacing w:after="0"/>
            </w:pPr>
            <w:r>
              <w:rPr>
                <w:sz w:val="15"/>
              </w:rPr>
              <w:t>Leave (real load)</w:t>
            </w:r>
          </w:p>
        </w:tc>
        <w:tc>
          <w:tcPr>
            <w:tcW w:type="dxa" w:w="1700"/>
          </w:tcPr>
          <w:p>
            <w:pPr>
              <w:spacing w:after="0"/>
            </w:pPr>
            <w:r>
              <w:rPr>
                <w:sz w:val="15"/>
              </w:rPr>
              <w:t>-1,846 / 0</w:t>
            </w:r>
          </w:p>
        </w:tc>
        <w:tc>
          <w:tcPr>
            <w:tcW w:type="dxa" w:w="1700"/>
          </w:tcPr>
          <w:p>
            <w:pPr>
              <w:spacing w:after="0"/>
            </w:pPr>
            <w:r>
              <w:rPr>
                <w:sz w:val="15"/>
              </w:rPr>
              <w:t>D 137 vs 100; DF 87; NG 54 vs 54; TI -82 / -83</w:t>
            </w:r>
          </w:p>
        </w:tc>
        <w:tc>
          <w:tcPr>
            <w:tcW w:type="dxa" w:w="1700"/>
          </w:tcPr>
          <w:p>
            <w:pPr>
              <w:spacing w:after="0"/>
            </w:pPr>
            <w:r>
              <w:rPr>
                <w:sz w:val="15"/>
              </w:rPr>
              <w:t>demand above its prior week with neighbour-confirmed extra imports; consistent load, forecast too low</w:t>
            </w:r>
          </w:p>
        </w:tc>
      </w:tr>
      <w:tr>
        <w:tc>
          <w:tcPr>
            <w:tcW w:type="dxa" w:w="1700"/>
          </w:tcPr>
          <w:p>
            <w:pPr>
              <w:spacing w:after="0"/>
            </w:pPr>
            <w:r>
              <w:rPr>
                <w:sz w:val="15"/>
              </w:rPr>
              <w:t>11</w:t>
            </w:r>
          </w:p>
        </w:tc>
        <w:tc>
          <w:tcPr>
            <w:tcW w:type="dxa" w:w="1700"/>
          </w:tcPr>
          <w:p>
            <w:pPr>
              <w:spacing w:after="0"/>
            </w:pPr>
            <w:r>
              <w:rPr>
                <w:sz w:val="15"/>
              </w:rPr>
              <w:t>IID, 2025-07-07 08:00, 24h</w:t>
            </w:r>
          </w:p>
        </w:tc>
        <w:tc>
          <w:tcPr>
            <w:tcW w:type="dxa" w:w="1700"/>
          </w:tcPr>
          <w:p>
            <w:pPr>
              <w:spacing w:after="0"/>
            </w:pPr>
            <w:r>
              <w:rPr>
                <w:sz w:val="15"/>
              </w:rPr>
              <w:t>Backfill</w:t>
            </w:r>
          </w:p>
        </w:tc>
        <w:tc>
          <w:tcPr>
            <w:tcW w:type="dxa" w:w="1700"/>
          </w:tcPr>
          <w:p>
            <w:pPr>
              <w:spacing w:after="0"/>
            </w:pPr>
            <w:r>
              <w:rPr>
                <w:sz w:val="15"/>
              </w:rPr>
              <w:t>16,920 / 16,920</w:t>
            </w:r>
          </w:p>
        </w:tc>
        <w:tc>
          <w:tcPr>
            <w:tcW w:type="dxa" w:w="1700"/>
          </w:tcPr>
          <w:p>
            <w:pPr>
              <w:spacing w:after="0"/>
            </w:pPr>
            <w:r>
              <w:rPr>
                <w:sz w:val="15"/>
              </w:rPr>
              <w:t>D 0 vs 640; DF 694; NG 914 vs 915; TI 218 / 218</w:t>
            </w:r>
          </w:p>
        </w:tc>
        <w:tc>
          <w:tcPr>
            <w:tcW w:type="dxa" w:w="1700"/>
          </w:tcPr>
          <w:p>
            <w:pPr>
              <w:spacing w:after="0"/>
            </w:pPr>
            <w:r>
              <w:rPr>
                <w:sz w:val="15"/>
              </w:rPr>
              <w:t>demand reported as zero while generation and interchange stay at normal levels</w:t>
            </w:r>
          </w:p>
        </w:tc>
      </w:tr>
      <w:tr>
        <w:tc>
          <w:tcPr>
            <w:tcW w:type="dxa" w:w="1700"/>
          </w:tcPr>
          <w:p>
            <w:pPr>
              <w:spacing w:after="0"/>
            </w:pPr>
            <w:r>
              <w:rPr>
                <w:sz w:val="15"/>
              </w:rPr>
              <w:t>12</w:t>
            </w:r>
          </w:p>
        </w:tc>
        <w:tc>
          <w:tcPr>
            <w:tcW w:type="dxa" w:w="1700"/>
          </w:tcPr>
          <w:p>
            <w:pPr>
              <w:spacing w:after="0"/>
            </w:pPr>
            <w:r>
              <w:rPr>
                <w:sz w:val="15"/>
              </w:rPr>
              <w:t>NEVP, 2025-07-25 08:00, 24h</w:t>
            </w:r>
          </w:p>
        </w:tc>
        <w:tc>
          <w:tcPr>
            <w:tcW w:type="dxa" w:w="1700"/>
          </w:tcPr>
          <w:p>
            <w:pPr>
              <w:spacing w:after="0"/>
            </w:pPr>
            <w:r>
              <w:rPr>
                <w:sz w:val="15"/>
              </w:rPr>
              <w:t>Leave (forecast error)</w:t>
            </w:r>
          </w:p>
        </w:tc>
        <w:tc>
          <w:tcPr>
            <w:tcW w:type="dxa" w:w="1700"/>
          </w:tcPr>
          <w:p>
            <w:pPr>
              <w:spacing w:after="0"/>
            </w:pPr>
            <w:r>
              <w:rPr>
                <w:sz w:val="15"/>
              </w:rPr>
              <w:t>-116,555 / 0</w:t>
            </w:r>
          </w:p>
        </w:tc>
        <w:tc>
          <w:tcPr>
            <w:tcW w:type="dxa" w:w="1700"/>
          </w:tcPr>
          <w:p>
            <w:pPr>
              <w:spacing w:after="0"/>
            </w:pPr>
            <w:r>
              <w:rPr>
                <w:sz w:val="15"/>
              </w:rPr>
              <w:t>D 5,528 vs 6,016; DF 692 (one value all incident); NG 4,753 vs 4,788; TI -589 / -589</w:t>
            </w:r>
          </w:p>
        </w:tc>
        <w:tc>
          <w:tcPr>
            <w:tcW w:type="dxa" w:w="1700"/>
          </w:tcPr>
          <w:p>
            <w:pPr>
              <w:spacing w:after="0"/>
            </w:pPr>
            <w:r>
              <w:rPr>
                <w:sz w:val="15"/>
              </w:rPr>
              <w:t>forecast stuck at 692 MW for the whole day; demand in line with its prior week</w:t>
            </w:r>
          </w:p>
        </w:tc>
      </w:tr>
      <w:tr>
        <w:tc>
          <w:tcPr>
            <w:tcW w:type="dxa" w:w="1700"/>
          </w:tcPr>
          <w:p>
            <w:pPr>
              <w:spacing w:after="0"/>
            </w:pPr>
            <w:r>
              <w:rPr>
                <w:sz w:val="15"/>
              </w:rPr>
              <w:t>13</w:t>
            </w:r>
          </w:p>
        </w:tc>
        <w:tc>
          <w:tcPr>
            <w:tcW w:type="dxa" w:w="1700"/>
          </w:tcPr>
          <w:p>
            <w:pPr>
              <w:spacing w:after="0"/>
            </w:pPr>
            <w:r>
              <w:rPr>
                <w:sz w:val="15"/>
              </w:rPr>
              <w:t>IID, 2025-07-27 08:00, 24h</w:t>
            </w:r>
          </w:p>
        </w:tc>
        <w:tc>
          <w:tcPr>
            <w:tcW w:type="dxa" w:w="1700"/>
          </w:tcPr>
          <w:p>
            <w:pPr>
              <w:spacing w:after="0"/>
            </w:pPr>
            <w:r>
              <w:rPr>
                <w:sz w:val="15"/>
              </w:rPr>
              <w:t>Backfill</w:t>
            </w:r>
          </w:p>
        </w:tc>
        <w:tc>
          <w:tcPr>
            <w:tcW w:type="dxa" w:w="1700"/>
          </w:tcPr>
          <w:p>
            <w:pPr>
              <w:spacing w:after="0"/>
            </w:pPr>
            <w:r>
              <w:rPr>
                <w:sz w:val="15"/>
              </w:rPr>
              <w:t>13,543 / 13,543</w:t>
            </w:r>
          </w:p>
        </w:tc>
        <w:tc>
          <w:tcPr>
            <w:tcW w:type="dxa" w:w="1700"/>
          </w:tcPr>
          <w:p>
            <w:pPr>
              <w:spacing w:after="0"/>
            </w:pPr>
            <w:r>
              <w:rPr>
                <w:sz w:val="15"/>
              </w:rPr>
              <w:t>D 0 vs 568; DF 550; NG 0 vs 875; TI 0 / 272</w:t>
            </w:r>
          </w:p>
        </w:tc>
        <w:tc>
          <w:tcPr>
            <w:tcW w:type="dxa" w:w="1700"/>
          </w:tcPr>
          <w:p>
            <w:pPr>
              <w:spacing w:after="0"/>
            </w:pPr>
            <w:r>
              <w:rPr>
                <w:sz w:val="15"/>
              </w:rPr>
              <w:t>demand, generation and interchange all reported as zero while neighbours report flows into IID</w:t>
            </w:r>
          </w:p>
        </w:tc>
      </w:tr>
      <w:tr>
        <w:tc>
          <w:tcPr>
            <w:tcW w:type="dxa" w:w="1700"/>
          </w:tcPr>
          <w:p>
            <w:pPr>
              <w:spacing w:after="0"/>
            </w:pPr>
            <w:r>
              <w:rPr>
                <w:sz w:val="15"/>
              </w:rPr>
              <w:t>14</w:t>
            </w:r>
          </w:p>
        </w:tc>
        <w:tc>
          <w:tcPr>
            <w:tcW w:type="dxa" w:w="1700"/>
          </w:tcPr>
          <w:p>
            <w:pPr>
              <w:spacing w:after="0"/>
            </w:pPr>
            <w:r>
              <w:rPr>
                <w:sz w:val="15"/>
              </w:rPr>
              <w:t>NEVP, 2025-09-10 08:00, 24h</w:t>
            </w:r>
          </w:p>
        </w:tc>
        <w:tc>
          <w:tcPr>
            <w:tcW w:type="dxa" w:w="1700"/>
          </w:tcPr>
          <w:p>
            <w:pPr>
              <w:spacing w:after="0"/>
            </w:pPr>
            <w:r>
              <w:rPr>
                <w:sz w:val="15"/>
              </w:rPr>
              <w:t>Leave (forecast error)</w:t>
            </w:r>
          </w:p>
        </w:tc>
        <w:tc>
          <w:tcPr>
            <w:tcW w:type="dxa" w:w="1700"/>
          </w:tcPr>
          <w:p>
            <w:pPr>
              <w:spacing w:after="0"/>
            </w:pPr>
            <w:r>
              <w:rPr>
                <w:sz w:val="15"/>
              </w:rPr>
              <w:t>-101,213 / 0</w:t>
            </w:r>
          </w:p>
        </w:tc>
        <w:tc>
          <w:tcPr>
            <w:tcW w:type="dxa" w:w="1700"/>
          </w:tcPr>
          <w:p>
            <w:pPr>
              <w:spacing w:after="0"/>
            </w:pPr>
            <w:r>
              <w:rPr>
                <w:sz w:val="15"/>
              </w:rPr>
              <w:t>D 4,872 vs 5,452; DF 692 (one value all incident); NG 4,382 vs 5,010; TI -516 / -516</w:t>
            </w:r>
          </w:p>
        </w:tc>
        <w:tc>
          <w:tcPr>
            <w:tcW w:type="dxa" w:w="1700"/>
          </w:tcPr>
          <w:p>
            <w:pPr>
              <w:spacing w:after="0"/>
            </w:pPr>
            <w:r>
              <w:rPr>
                <w:sz w:val="15"/>
              </w:rPr>
              <w:t>forecast stuck at 692 MW for the whole day; demand in line with its prior week</w:t>
            </w:r>
          </w:p>
        </w:tc>
      </w:tr>
      <w:tr>
        <w:tc>
          <w:tcPr>
            <w:tcW w:type="dxa" w:w="1700"/>
          </w:tcPr>
          <w:p>
            <w:pPr>
              <w:spacing w:after="0"/>
            </w:pPr>
            <w:r>
              <w:rPr>
                <w:sz w:val="15"/>
              </w:rPr>
              <w:t>15</w:t>
            </w:r>
          </w:p>
        </w:tc>
        <w:tc>
          <w:tcPr>
            <w:tcW w:type="dxa" w:w="1700"/>
          </w:tcPr>
          <w:p>
            <w:pPr>
              <w:spacing w:after="0"/>
            </w:pPr>
            <w:r>
              <w:rPr>
                <w:sz w:val="15"/>
              </w:rPr>
              <w:t>IID, 2025-09-16 08:00, 24h</w:t>
            </w:r>
          </w:p>
        </w:tc>
        <w:tc>
          <w:tcPr>
            <w:tcW w:type="dxa" w:w="1700"/>
          </w:tcPr>
          <w:p>
            <w:pPr>
              <w:spacing w:after="0"/>
            </w:pPr>
            <w:r>
              <w:rPr>
                <w:sz w:val="15"/>
              </w:rPr>
              <w:t>Backfill</w:t>
            </w:r>
          </w:p>
        </w:tc>
        <w:tc>
          <w:tcPr>
            <w:tcW w:type="dxa" w:w="1700"/>
          </w:tcPr>
          <w:p>
            <w:pPr>
              <w:spacing w:after="0"/>
            </w:pPr>
            <w:r>
              <w:rPr>
                <w:sz w:val="15"/>
              </w:rPr>
              <w:t>13,827 / 13,827</w:t>
            </w:r>
          </w:p>
        </w:tc>
        <w:tc>
          <w:tcPr>
            <w:tcW w:type="dxa" w:w="1700"/>
          </w:tcPr>
          <w:p>
            <w:pPr>
              <w:spacing w:after="0"/>
            </w:pPr>
            <w:r>
              <w:rPr>
                <w:sz w:val="15"/>
              </w:rPr>
              <w:t>D 0 vs 491; DF 561; NG 0 vs 769; TI 244 / 244</w:t>
            </w:r>
          </w:p>
        </w:tc>
        <w:tc>
          <w:tcPr>
            <w:tcW w:type="dxa" w:w="1700"/>
          </w:tcPr>
          <w:p>
            <w:pPr>
              <w:spacing w:after="0"/>
            </w:pPr>
            <w:r>
              <w:rPr>
                <w:sz w:val="15"/>
              </w:rPr>
              <w:t>demand and generation reported as zero while interchange shows normal imports</w:t>
            </w:r>
          </w:p>
        </w:tc>
      </w:tr>
      <w:tr>
        <w:tc>
          <w:tcPr>
            <w:tcW w:type="dxa" w:w="1700"/>
          </w:tcPr>
          <w:p>
            <w:pPr>
              <w:spacing w:after="0"/>
            </w:pPr>
            <w:r>
              <w:rPr>
                <w:sz w:val="15"/>
              </w:rPr>
              <w:t>16</w:t>
            </w:r>
          </w:p>
        </w:tc>
        <w:tc>
          <w:tcPr>
            <w:tcW w:type="dxa" w:w="1700"/>
          </w:tcPr>
          <w:p>
            <w:pPr>
              <w:spacing w:after="0"/>
            </w:pPr>
            <w:r>
              <w:rPr>
                <w:sz w:val="15"/>
              </w:rPr>
              <w:t>WAUW, 2025-12-17 23:00, 131h</w:t>
            </w:r>
          </w:p>
        </w:tc>
        <w:tc>
          <w:tcPr>
            <w:tcW w:type="dxa" w:w="1700"/>
          </w:tcPr>
          <w:p>
            <w:pPr>
              <w:spacing w:after="0"/>
            </w:pPr>
            <w:r>
              <w:rPr>
                <w:sz w:val="15"/>
              </w:rPr>
              <w:t>Backfill</w:t>
            </w:r>
          </w:p>
        </w:tc>
        <w:tc>
          <w:tcPr>
            <w:tcW w:type="dxa" w:w="1700"/>
          </w:tcPr>
          <w:p>
            <w:pPr>
              <w:spacing w:after="0"/>
            </w:pPr>
            <w:r>
              <w:rPr>
                <w:sz w:val="15"/>
              </w:rPr>
              <w:t>7,191 / 7,191</w:t>
            </w:r>
          </w:p>
        </w:tc>
        <w:tc>
          <w:tcPr>
            <w:tcW w:type="dxa" w:w="1700"/>
          </w:tcPr>
          <w:p>
            <w:pPr>
              <w:spacing w:after="0"/>
            </w:pPr>
            <w:r>
              <w:rPr>
                <w:sz w:val="15"/>
              </w:rPr>
              <w:t>D 43 vs 102; DF 97; NG 2 vs 41; TI -40 / -40</w:t>
            </w:r>
          </w:p>
        </w:tc>
        <w:tc>
          <w:tcPr>
            <w:tcW w:type="dxa" w:w="1700"/>
          </w:tcPr>
          <w:p>
            <w:pPr>
              <w:spacing w:after="0"/>
            </w:pPr>
            <w:r>
              <w:rPr>
                <w:sz w:val="15"/>
              </w:rPr>
              <w:t>generation reading drops to about 2 MW while interchange is unchanged, so demand is understated</w:t>
            </w:r>
          </w:p>
        </w:tc>
      </w:tr>
      <w:tr>
        <w:tc>
          <w:tcPr>
            <w:tcW w:type="dxa" w:w="1700"/>
          </w:tcPr>
          <w:p>
            <w:pPr>
              <w:spacing w:after="0"/>
            </w:pPr>
            <w:r>
              <w:rPr>
                <w:sz w:val="15"/>
              </w:rPr>
              <w:t>17</w:t>
            </w:r>
          </w:p>
        </w:tc>
        <w:tc>
          <w:tcPr>
            <w:tcW w:type="dxa" w:w="1700"/>
          </w:tcPr>
          <w:p>
            <w:pPr>
              <w:spacing w:after="0"/>
            </w:pPr>
            <w:r>
              <w:rPr>
                <w:sz w:val="15"/>
              </w:rPr>
              <w:t>TIDC, 2025-12-29 09:00, 24h</w:t>
            </w:r>
          </w:p>
        </w:tc>
        <w:tc>
          <w:tcPr>
            <w:tcW w:type="dxa" w:w="1700"/>
          </w:tcPr>
          <w:p>
            <w:pPr>
              <w:spacing w:after="0"/>
            </w:pPr>
            <w:r>
              <w:rPr>
                <w:sz w:val="15"/>
              </w:rPr>
              <w:t>Backfill</w:t>
            </w:r>
          </w:p>
        </w:tc>
        <w:tc>
          <w:tcPr>
            <w:tcW w:type="dxa" w:w="1700"/>
          </w:tcPr>
          <w:p>
            <w:pPr>
              <w:spacing w:after="0"/>
            </w:pPr>
            <w:r>
              <w:rPr>
                <w:sz w:val="15"/>
              </w:rPr>
              <w:t>7,442 / 7,442</w:t>
            </w:r>
          </w:p>
        </w:tc>
        <w:tc>
          <w:tcPr>
            <w:tcW w:type="dxa" w:w="1700"/>
          </w:tcPr>
          <w:p>
            <w:pPr>
              <w:spacing w:after="0"/>
            </w:pPr>
            <w:r>
              <w:rPr>
                <w:sz w:val="15"/>
              </w:rPr>
              <w:t>D 0 vs 268; DF 323; NG 250 vs 227; TI -64 / -64</w:t>
            </w:r>
          </w:p>
        </w:tc>
        <w:tc>
          <w:tcPr>
            <w:tcW w:type="dxa" w:w="1700"/>
          </w:tcPr>
          <w:p>
            <w:pPr>
              <w:spacing w:after="0"/>
            </w:pPr>
            <w:r>
              <w:rPr>
                <w:sz w:val="15"/>
              </w:rPr>
              <w:t>demand reported as zero while generation and interchange stay at normal levels</w:t>
            </w:r>
          </w:p>
        </w:tc>
      </w:tr>
      <w:tr>
        <w:tc>
          <w:tcPr>
            <w:tcW w:type="dxa" w:w="1700"/>
          </w:tcPr>
          <w:p>
            <w:pPr>
              <w:spacing w:after="0"/>
            </w:pPr>
            <w:r>
              <w:rPr>
                <w:sz w:val="15"/>
              </w:rPr>
              <w:t>18</w:t>
            </w:r>
          </w:p>
        </w:tc>
        <w:tc>
          <w:tcPr>
            <w:tcW w:type="dxa" w:w="1700"/>
          </w:tcPr>
          <w:p>
            <w:pPr>
              <w:spacing w:after="0"/>
            </w:pPr>
            <w:r>
              <w:rPr>
                <w:sz w:val="15"/>
              </w:rPr>
              <w:t>LDWP, 2026-01-01 09:00, 96h</w:t>
            </w:r>
          </w:p>
        </w:tc>
        <w:tc>
          <w:tcPr>
            <w:tcW w:type="dxa" w:w="1700"/>
          </w:tcPr>
          <w:p>
            <w:pPr>
              <w:spacing w:after="0"/>
            </w:pPr>
            <w:r>
              <w:rPr>
                <w:sz w:val="15"/>
              </w:rPr>
              <w:t>Backfill</w:t>
            </w:r>
          </w:p>
        </w:tc>
        <w:tc>
          <w:tcPr>
            <w:tcW w:type="dxa" w:w="1700"/>
          </w:tcPr>
          <w:p>
            <w:pPr>
              <w:spacing w:after="0"/>
            </w:pPr>
            <w:r>
              <w:rPr>
                <w:sz w:val="15"/>
              </w:rPr>
              <w:t>207,224 / 207,224</w:t>
            </w:r>
          </w:p>
        </w:tc>
        <w:tc>
          <w:tcPr>
            <w:tcW w:type="dxa" w:w="1700"/>
          </w:tcPr>
          <w:p>
            <w:pPr>
              <w:spacing w:after="0"/>
            </w:pPr>
            <w:r>
              <w:rPr>
                <w:sz w:val="15"/>
              </w:rPr>
              <w:t>D 132 vs 2,706; DF 2,299; NG 132 vs 1,821; TI 0 / -1,104</w:t>
            </w:r>
          </w:p>
        </w:tc>
        <w:tc>
          <w:tcPr>
            <w:tcW w:type="dxa" w:w="1700"/>
          </w:tcPr>
          <w:p>
            <w:pPr>
              <w:spacing w:after="0"/>
            </w:pPr>
            <w:r>
              <w:rPr>
                <w:sz w:val="15"/>
              </w:rPr>
              <w:t>interchange reported as exactly zero for four days while neighbours report about 1,100 MW of imports; generation also collapses</w:t>
            </w:r>
          </w:p>
        </w:tc>
      </w:tr>
      <w:tr>
        <w:tc>
          <w:tcPr>
            <w:tcW w:type="dxa" w:w="1700"/>
          </w:tcPr>
          <w:p>
            <w:pPr>
              <w:spacing w:after="0"/>
            </w:pPr>
            <w:r>
              <w:rPr>
                <w:sz w:val="15"/>
              </w:rPr>
              <w:t>19</w:t>
            </w:r>
          </w:p>
        </w:tc>
        <w:tc>
          <w:tcPr>
            <w:tcW w:type="dxa" w:w="1700"/>
          </w:tcPr>
          <w:p>
            <w:pPr>
              <w:spacing w:after="0"/>
            </w:pPr>
            <w:r>
              <w:rPr>
                <w:sz w:val="15"/>
              </w:rPr>
              <w:t>DUK, 2026-01-31 17:00, 27h</w:t>
            </w:r>
          </w:p>
        </w:tc>
        <w:tc>
          <w:tcPr>
            <w:tcW w:type="dxa" w:w="1700"/>
          </w:tcPr>
          <w:p>
            <w:pPr>
              <w:spacing w:after="0"/>
            </w:pPr>
            <w:r>
              <w:rPr>
                <w:sz w:val="15"/>
              </w:rPr>
              <w:t>Leave (real load)</w:t>
            </w:r>
          </w:p>
        </w:tc>
        <w:tc>
          <w:tcPr>
            <w:tcW w:type="dxa" w:w="1700"/>
          </w:tcPr>
          <w:p>
            <w:pPr>
              <w:spacing w:after="0"/>
            </w:pPr>
            <w:r>
              <w:rPr>
                <w:sz w:val="15"/>
              </w:rPr>
              <w:t>-184,079 / 0</w:t>
            </w:r>
          </w:p>
        </w:tc>
        <w:tc>
          <w:tcPr>
            <w:tcW w:type="dxa" w:w="1700"/>
          </w:tcPr>
          <w:p>
            <w:pPr>
              <w:spacing w:after="0"/>
            </w:pPr>
            <w:r>
              <w:rPr>
                <w:sz w:val="15"/>
              </w:rPr>
              <w:t>D 19,833 vs 16,916; DF 12,680; NG 20,209 vs 16,330; TI 601 / 630</w:t>
            </w:r>
          </w:p>
        </w:tc>
        <w:tc>
          <w:tcPr>
            <w:tcW w:type="dxa" w:w="1700"/>
          </w:tcPr>
          <w:p>
            <w:pPr>
              <w:spacing w:after="0"/>
            </w:pPr>
            <w:r>
              <w:rPr>
                <w:sz w:val="15"/>
              </w:rPr>
              <w:t>cold-weather demand above its prior week with generation up and neighbour-confirmed interchange; forecast too low</w:t>
            </w:r>
          </w:p>
        </w:tc>
      </w:tr>
      <w:tr>
        <w:tc>
          <w:tcPr>
            <w:tcW w:type="dxa" w:w="1700"/>
          </w:tcPr>
          <w:p>
            <w:pPr>
              <w:spacing w:after="0"/>
            </w:pPr>
            <w:r>
              <w:rPr>
                <w:sz w:val="15"/>
              </w:rPr>
              <w:t>20</w:t>
            </w:r>
          </w:p>
        </w:tc>
        <w:tc>
          <w:tcPr>
            <w:tcW w:type="dxa" w:w="1700"/>
          </w:tcPr>
          <w:p>
            <w:pPr>
              <w:spacing w:after="0"/>
            </w:pPr>
            <w:r>
              <w:rPr>
                <w:sz w:val="15"/>
              </w:rPr>
              <w:t>FMPP, 2026-02-05 16:00, 43h</w:t>
            </w:r>
          </w:p>
        </w:tc>
        <w:tc>
          <w:tcPr>
            <w:tcW w:type="dxa" w:w="1700"/>
          </w:tcPr>
          <w:p>
            <w:pPr>
              <w:spacing w:after="0"/>
            </w:pPr>
            <w:r>
              <w:rPr>
                <w:sz w:val="15"/>
              </w:rPr>
              <w:t>Leave (forecast error)</w:t>
            </w:r>
          </w:p>
        </w:tc>
        <w:tc>
          <w:tcPr>
            <w:tcW w:type="dxa" w:w="1700"/>
          </w:tcPr>
          <w:p>
            <w:pPr>
              <w:spacing w:after="0"/>
            </w:pPr>
            <w:r>
              <w:rPr>
                <w:sz w:val="15"/>
              </w:rPr>
              <w:t>-34,499 / 0</w:t>
            </w:r>
          </w:p>
        </w:tc>
        <w:tc>
          <w:tcPr>
            <w:tcW w:type="dxa" w:w="1700"/>
          </w:tcPr>
          <w:p>
            <w:pPr>
              <w:spacing w:after="0"/>
            </w:pPr>
            <w:r>
              <w:rPr>
                <w:sz w:val="15"/>
              </w:rPr>
              <w:t>D 2,179 vs 2,230; DF 1,403; NG 2,230 vs 2,163; TI 26 / 18</w:t>
            </w:r>
          </w:p>
        </w:tc>
        <w:tc>
          <w:tcPr>
            <w:tcW w:type="dxa" w:w="1700"/>
          </w:tcPr>
          <w:p>
            <w:pPr>
              <w:spacing w:after="0"/>
            </w:pPr>
            <w:r>
              <w:rPr>
                <w:sz w:val="15"/>
              </w:rPr>
              <w:t>demand in line with its prior week and neighbour-confirmed; forecast running about 30% low</w:t>
            </w:r>
          </w:p>
        </w:tc>
      </w:tr>
      <w:tr>
        <w:tc>
          <w:tcPr>
            <w:tcW w:type="dxa" w:w="1700"/>
          </w:tcPr>
          <w:p>
            <w:pPr>
              <w:spacing w:after="0"/>
            </w:pPr>
            <w:r>
              <w:rPr>
                <w:sz w:val="15"/>
              </w:rPr>
              <w:t>21</w:t>
            </w:r>
          </w:p>
        </w:tc>
        <w:tc>
          <w:tcPr>
            <w:tcW w:type="dxa" w:w="1700"/>
          </w:tcPr>
          <w:p>
            <w:pPr>
              <w:spacing w:after="0"/>
            </w:pPr>
            <w:r>
              <w:rPr>
                <w:sz w:val="15"/>
              </w:rPr>
              <w:t>FMPP, 2026-03-01 01:00, 34h</w:t>
            </w:r>
          </w:p>
        </w:tc>
        <w:tc>
          <w:tcPr>
            <w:tcW w:type="dxa" w:w="1700"/>
          </w:tcPr>
          <w:p>
            <w:pPr>
              <w:spacing w:after="0"/>
            </w:pPr>
            <w:r>
              <w:rPr>
                <w:sz w:val="15"/>
              </w:rPr>
              <w:t>Leave (forecast error)</w:t>
            </w:r>
          </w:p>
        </w:tc>
        <w:tc>
          <w:tcPr>
            <w:tcW w:type="dxa" w:w="1700"/>
          </w:tcPr>
          <w:p>
            <w:pPr>
              <w:spacing w:after="0"/>
            </w:pPr>
            <w:r>
              <w:rPr>
                <w:sz w:val="15"/>
              </w:rPr>
              <w:t>-17,940 / 0</w:t>
            </w:r>
          </w:p>
        </w:tc>
        <w:tc>
          <w:tcPr>
            <w:tcW w:type="dxa" w:w="1700"/>
          </w:tcPr>
          <w:p>
            <w:pPr>
              <w:spacing w:after="0"/>
            </w:pPr>
            <w:r>
              <w:rPr>
                <w:sz w:val="15"/>
              </w:rPr>
              <w:t>D 1,693 vs 1,936; DF 1,156; NG 1,508 vs 1,695; TI -104 / -108</w:t>
            </w:r>
          </w:p>
        </w:tc>
        <w:tc>
          <w:tcPr>
            <w:tcW w:type="dxa" w:w="1700"/>
          </w:tcPr>
          <w:p>
            <w:pPr>
              <w:spacing w:after="0"/>
            </w:pPr>
            <w:r>
              <w:rPr>
                <w:sz w:val="15"/>
              </w:rPr>
              <w:t>demand in line with its prior week and neighbour-confirmed; forecast running about 30% low</w:t>
            </w:r>
          </w:p>
        </w:tc>
      </w:tr>
      <w:tr>
        <w:tc>
          <w:tcPr>
            <w:tcW w:type="dxa" w:w="1700"/>
          </w:tcPr>
          <w:p>
            <w:pPr>
              <w:spacing w:after="0"/>
            </w:pPr>
            <w:r>
              <w:rPr>
                <w:sz w:val="15"/>
              </w:rPr>
              <w:t>22</w:t>
            </w:r>
          </w:p>
        </w:tc>
        <w:tc>
          <w:tcPr>
            <w:tcW w:type="dxa" w:w="1700"/>
          </w:tcPr>
          <w:p>
            <w:pPr>
              <w:spacing w:after="0"/>
            </w:pPr>
            <w:r>
              <w:rPr>
                <w:sz w:val="15"/>
              </w:rPr>
              <w:t>FMPP, 2026-03-06 20:00, 25h</w:t>
            </w:r>
          </w:p>
        </w:tc>
        <w:tc>
          <w:tcPr>
            <w:tcW w:type="dxa" w:w="1700"/>
          </w:tcPr>
          <w:p>
            <w:pPr>
              <w:spacing w:after="0"/>
            </w:pPr>
            <w:r>
              <w:rPr>
                <w:sz w:val="15"/>
              </w:rPr>
              <w:t>Leave (forecast error)</w:t>
            </w:r>
          </w:p>
        </w:tc>
        <w:tc>
          <w:tcPr>
            <w:tcW w:type="dxa" w:w="1700"/>
          </w:tcPr>
          <w:p>
            <w:pPr>
              <w:spacing w:after="0"/>
            </w:pPr>
            <w:r>
              <w:rPr>
                <w:sz w:val="15"/>
              </w:rPr>
              <w:t>-16,370 / 0</w:t>
            </w:r>
          </w:p>
        </w:tc>
        <w:tc>
          <w:tcPr>
            <w:tcW w:type="dxa" w:w="1700"/>
          </w:tcPr>
          <w:p>
            <w:pPr>
              <w:spacing w:after="0"/>
            </w:pPr>
            <w:r>
              <w:rPr>
                <w:sz w:val="15"/>
              </w:rPr>
              <w:t>D 2,129 vs 1,904; DF 1,466; NG 1,833 vs 1,669; TI -296 / -304</w:t>
            </w:r>
          </w:p>
        </w:tc>
        <w:tc>
          <w:tcPr>
            <w:tcW w:type="dxa" w:w="1700"/>
          </w:tcPr>
          <w:p>
            <w:pPr>
              <w:spacing w:after="0"/>
            </w:pPr>
            <w:r>
              <w:rPr>
                <w:sz w:val="15"/>
              </w:rPr>
              <w:t>demand in line with its prior week and neighbour-confirmed; forecast running about 30% low</w:t>
            </w:r>
          </w:p>
        </w:tc>
      </w:tr>
      <w:tr>
        <w:tc>
          <w:tcPr>
            <w:tcW w:type="dxa" w:w="1700"/>
          </w:tcPr>
          <w:p>
            <w:pPr>
              <w:spacing w:after="0"/>
            </w:pPr>
            <w:r>
              <w:rPr>
                <w:sz w:val="15"/>
              </w:rPr>
              <w:t>23</w:t>
            </w:r>
          </w:p>
        </w:tc>
        <w:tc>
          <w:tcPr>
            <w:tcW w:type="dxa" w:w="1700"/>
          </w:tcPr>
          <w:p>
            <w:pPr>
              <w:spacing w:after="0"/>
            </w:pPr>
            <w:r>
              <w:rPr>
                <w:sz w:val="15"/>
              </w:rPr>
              <w:t>FMPP, 2026-03-14 14:00, 32h</w:t>
            </w:r>
          </w:p>
        </w:tc>
        <w:tc>
          <w:tcPr>
            <w:tcW w:type="dxa" w:w="1700"/>
          </w:tcPr>
          <w:p>
            <w:pPr>
              <w:spacing w:after="0"/>
            </w:pPr>
            <w:r>
              <w:rPr>
                <w:sz w:val="15"/>
              </w:rPr>
              <w:t>Leave (forecast error)</w:t>
            </w:r>
          </w:p>
        </w:tc>
        <w:tc>
          <w:tcPr>
            <w:tcW w:type="dxa" w:w="1700"/>
          </w:tcPr>
          <w:p>
            <w:pPr>
              <w:spacing w:after="0"/>
            </w:pPr>
            <w:r>
              <w:rPr>
                <w:sz w:val="15"/>
              </w:rPr>
              <w:t>-21,685 / 0</w:t>
            </w:r>
          </w:p>
        </w:tc>
        <w:tc>
          <w:tcPr>
            <w:tcW w:type="dxa" w:w="1700"/>
          </w:tcPr>
          <w:p>
            <w:pPr>
              <w:spacing w:after="0"/>
            </w:pPr>
            <w:r>
              <w:rPr>
                <w:sz w:val="15"/>
              </w:rPr>
              <w:t>D 2,122 vs 2,088; DF 1,391; NG 1,902 vs 1,818; TI -180 / -187</w:t>
            </w:r>
          </w:p>
        </w:tc>
        <w:tc>
          <w:tcPr>
            <w:tcW w:type="dxa" w:w="1700"/>
          </w:tcPr>
          <w:p>
            <w:pPr>
              <w:spacing w:after="0"/>
            </w:pPr>
            <w:r>
              <w:rPr>
                <w:sz w:val="15"/>
              </w:rPr>
              <w:t>demand in line with its prior week and neighbour-confirmed; forecast running about 30% low</w:t>
            </w:r>
          </w:p>
        </w:tc>
      </w:tr>
      <w:tr>
        <w:tc>
          <w:tcPr>
            <w:tcW w:type="dxa" w:w="1700"/>
          </w:tcPr>
          <w:p>
            <w:pPr>
              <w:spacing w:after="0"/>
            </w:pPr>
            <w:r>
              <w:rPr>
                <w:sz w:val="15"/>
              </w:rPr>
              <w:t>24</w:t>
            </w:r>
          </w:p>
        </w:tc>
        <w:tc>
          <w:tcPr>
            <w:tcW w:type="dxa" w:w="1700"/>
          </w:tcPr>
          <w:p>
            <w:pPr>
              <w:spacing w:after="0"/>
            </w:pPr>
            <w:r>
              <w:rPr>
                <w:sz w:val="15"/>
              </w:rPr>
              <w:t>FMPP, 2026-03-20 13:00, 27h</w:t>
            </w:r>
          </w:p>
        </w:tc>
        <w:tc>
          <w:tcPr>
            <w:tcW w:type="dxa" w:w="1700"/>
          </w:tcPr>
          <w:p>
            <w:pPr>
              <w:spacing w:after="0"/>
            </w:pPr>
            <w:r>
              <w:rPr>
                <w:sz w:val="15"/>
              </w:rPr>
              <w:t>Leave (forecast error)</w:t>
            </w:r>
          </w:p>
        </w:tc>
        <w:tc>
          <w:tcPr>
            <w:tcW w:type="dxa" w:w="1700"/>
          </w:tcPr>
          <w:p>
            <w:pPr>
              <w:spacing w:after="0"/>
            </w:pPr>
            <w:r>
              <w:rPr>
                <w:sz w:val="15"/>
              </w:rPr>
              <w:t>-14,391 / 0</w:t>
            </w:r>
          </w:p>
        </w:tc>
        <w:tc>
          <w:tcPr>
            <w:tcW w:type="dxa" w:w="1700"/>
          </w:tcPr>
          <w:p>
            <w:pPr>
              <w:spacing w:after="0"/>
            </w:pPr>
            <w:r>
              <w:rPr>
                <w:sz w:val="15"/>
              </w:rPr>
              <w:t>D 1,769 vs 1,826; DF 1,204; NG 1,490 vs 1,678; TI -133 / -141</w:t>
            </w:r>
          </w:p>
        </w:tc>
        <w:tc>
          <w:tcPr>
            <w:tcW w:type="dxa" w:w="1700"/>
          </w:tcPr>
          <w:p>
            <w:pPr>
              <w:spacing w:after="0"/>
            </w:pPr>
            <w:r>
              <w:rPr>
                <w:sz w:val="15"/>
              </w:rPr>
              <w:t>demand in line with its prior week and neighbour-confirmed; forecast running about 30% low</w:t>
            </w:r>
          </w:p>
        </w:tc>
      </w:tr>
      <w:tr>
        <w:tc>
          <w:tcPr>
            <w:tcW w:type="dxa" w:w="1700"/>
          </w:tcPr>
          <w:p>
            <w:pPr>
              <w:spacing w:after="0"/>
            </w:pPr>
            <w:r>
              <w:rPr>
                <w:sz w:val="15"/>
              </w:rPr>
              <w:t>25</w:t>
            </w:r>
          </w:p>
        </w:tc>
        <w:tc>
          <w:tcPr>
            <w:tcW w:type="dxa" w:w="1700"/>
          </w:tcPr>
          <w:p>
            <w:pPr>
              <w:spacing w:after="0"/>
            </w:pPr>
            <w:r>
              <w:rPr>
                <w:sz w:val="15"/>
              </w:rPr>
              <w:t>WALC, 2026-03-20 15:00, 63h</w:t>
            </w:r>
          </w:p>
        </w:tc>
        <w:tc>
          <w:tcPr>
            <w:tcW w:type="dxa" w:w="1700"/>
          </w:tcPr>
          <w:p>
            <w:pPr>
              <w:spacing w:after="0"/>
            </w:pPr>
            <w:r>
              <w:rPr>
                <w:sz w:val="15"/>
              </w:rPr>
              <w:t>Leave (real load)</w:t>
            </w:r>
          </w:p>
        </w:tc>
        <w:tc>
          <w:tcPr>
            <w:tcW w:type="dxa" w:w="1700"/>
          </w:tcPr>
          <w:p>
            <w:pPr>
              <w:spacing w:after="0"/>
            </w:pPr>
            <w:r>
              <w:rPr>
                <w:sz w:val="15"/>
              </w:rPr>
              <w:t>-37,625 / 0</w:t>
            </w:r>
          </w:p>
        </w:tc>
        <w:tc>
          <w:tcPr>
            <w:tcW w:type="dxa" w:w="1700"/>
          </w:tcPr>
          <w:p>
            <w:pPr>
              <w:spacing w:after="0"/>
            </w:pPr>
            <w:r>
              <w:rPr>
                <w:sz w:val="15"/>
              </w:rPr>
              <w:t>D 1,205 vs 880; DF 659; NG 777 vs 799; TI -422 / -420</w:t>
            </w:r>
          </w:p>
        </w:tc>
        <w:tc>
          <w:tcPr>
            <w:tcW w:type="dxa" w:w="1700"/>
          </w:tcPr>
          <w:p>
            <w:pPr>
              <w:spacing w:after="0"/>
            </w:pPr>
            <w:r>
              <w:rPr>
                <w:sz w:val="15"/>
              </w:rPr>
              <w:t>demand above its prior week with neighbour-confirmed extra imports and steady generation; forecast too low</w:t>
            </w:r>
          </w:p>
        </w:tc>
      </w:tr>
      <w:tr>
        <w:tc>
          <w:tcPr>
            <w:tcW w:type="dxa" w:w="1700"/>
          </w:tcPr>
          <w:p>
            <w:pPr>
              <w:spacing w:after="0"/>
            </w:pPr>
            <w:r>
              <w:rPr>
                <w:sz w:val="15"/>
              </w:rPr>
              <w:t>26</w:t>
            </w:r>
          </w:p>
        </w:tc>
        <w:tc>
          <w:tcPr>
            <w:tcW w:type="dxa" w:w="1700"/>
          </w:tcPr>
          <w:p>
            <w:pPr>
              <w:spacing w:after="0"/>
            </w:pPr>
            <w:r>
              <w:rPr>
                <w:sz w:val="15"/>
              </w:rPr>
              <w:t>FMPP, 2026-03-28 18:00, 64h</w:t>
            </w:r>
          </w:p>
        </w:tc>
        <w:tc>
          <w:tcPr>
            <w:tcW w:type="dxa" w:w="1700"/>
          </w:tcPr>
          <w:p>
            <w:pPr>
              <w:spacing w:after="0"/>
            </w:pPr>
            <w:r>
              <w:rPr>
                <w:sz w:val="15"/>
              </w:rPr>
              <w:t>Leave (forecast error)</w:t>
            </w:r>
          </w:p>
        </w:tc>
        <w:tc>
          <w:tcPr>
            <w:tcW w:type="dxa" w:w="1700"/>
          </w:tcPr>
          <w:p>
            <w:pPr>
              <w:spacing w:after="0"/>
            </w:pPr>
            <w:r>
              <w:rPr>
                <w:sz w:val="15"/>
              </w:rPr>
              <w:t>-42,570 / 0</w:t>
            </w:r>
          </w:p>
        </w:tc>
        <w:tc>
          <w:tcPr>
            <w:tcW w:type="dxa" w:w="1700"/>
          </w:tcPr>
          <w:p>
            <w:pPr>
              <w:spacing w:after="0"/>
            </w:pPr>
            <w:r>
              <w:rPr>
                <w:sz w:val="15"/>
              </w:rPr>
              <w:t>D 2,002 vs 1,905; DF 1,294; NG 1,860 vs 1,746; TI -78 / -81</w:t>
            </w:r>
          </w:p>
        </w:tc>
        <w:tc>
          <w:tcPr>
            <w:tcW w:type="dxa" w:w="1700"/>
          </w:tcPr>
          <w:p>
            <w:pPr>
              <w:spacing w:after="0"/>
            </w:pPr>
            <w:r>
              <w:rPr>
                <w:sz w:val="15"/>
              </w:rPr>
              <w:t>demand in line with its prior week and neighbour-confirmed; forecast running about 30% low</w:t>
            </w:r>
          </w:p>
        </w:tc>
      </w:tr>
      <w:tr>
        <w:tc>
          <w:tcPr>
            <w:tcW w:type="dxa" w:w="1700"/>
          </w:tcPr>
          <w:p>
            <w:pPr>
              <w:spacing w:after="0"/>
            </w:pPr>
            <w:r>
              <w:rPr>
                <w:sz w:val="15"/>
              </w:rPr>
              <w:t>27</w:t>
            </w:r>
          </w:p>
        </w:tc>
        <w:tc>
          <w:tcPr>
            <w:tcW w:type="dxa" w:w="1700"/>
          </w:tcPr>
          <w:p>
            <w:pPr>
              <w:spacing w:after="0"/>
            </w:pPr>
            <w:r>
              <w:rPr>
                <w:sz w:val="15"/>
              </w:rPr>
              <w:t>FMPP, 2026-04-05 14:00, 43h</w:t>
            </w:r>
          </w:p>
        </w:tc>
        <w:tc>
          <w:tcPr>
            <w:tcW w:type="dxa" w:w="1700"/>
          </w:tcPr>
          <w:p>
            <w:pPr>
              <w:spacing w:after="0"/>
            </w:pPr>
            <w:r>
              <w:rPr>
                <w:sz w:val="15"/>
              </w:rPr>
              <w:t>Leave (forecast error)</w:t>
            </w:r>
          </w:p>
        </w:tc>
        <w:tc>
          <w:tcPr>
            <w:tcW w:type="dxa" w:w="1700"/>
          </w:tcPr>
          <w:p>
            <w:pPr>
              <w:spacing w:after="0"/>
            </w:pPr>
            <w:r>
              <w:rPr>
                <w:sz w:val="15"/>
              </w:rPr>
              <w:t>-29,998 / 0</w:t>
            </w:r>
          </w:p>
        </w:tc>
        <w:tc>
          <w:tcPr>
            <w:tcW w:type="dxa" w:w="1700"/>
          </w:tcPr>
          <w:p>
            <w:pPr>
              <w:spacing w:after="0"/>
            </w:pPr>
            <w:r>
              <w:rPr>
                <w:sz w:val="15"/>
              </w:rPr>
              <w:t>D 2,191 vs 2,044; DF 1,500; NG 2,110 vs 1,851; TI -117 / -126</w:t>
            </w:r>
          </w:p>
        </w:tc>
        <w:tc>
          <w:tcPr>
            <w:tcW w:type="dxa" w:w="1700"/>
          </w:tcPr>
          <w:p>
            <w:pPr>
              <w:spacing w:after="0"/>
            </w:pPr>
            <w:r>
              <w:rPr>
                <w:sz w:val="15"/>
              </w:rPr>
              <w:t>demand in line with its prior week and neighbour-confirmed; forecast running about 30% low</w:t>
            </w:r>
          </w:p>
        </w:tc>
      </w:tr>
      <w:tr>
        <w:tc>
          <w:tcPr>
            <w:tcW w:type="dxa" w:w="1700"/>
          </w:tcPr>
          <w:p>
            <w:pPr>
              <w:spacing w:after="0"/>
            </w:pPr>
            <w:r>
              <w:rPr>
                <w:sz w:val="15"/>
              </w:rPr>
              <w:t>28</w:t>
            </w:r>
          </w:p>
        </w:tc>
        <w:tc>
          <w:tcPr>
            <w:tcW w:type="dxa" w:w="1700"/>
          </w:tcPr>
          <w:p>
            <w:pPr>
              <w:spacing w:after="0"/>
            </w:pPr>
            <w:r>
              <w:rPr>
                <w:sz w:val="15"/>
              </w:rPr>
              <w:t>FMPP, 2026-04-07 23:00, 59h</w:t>
            </w:r>
          </w:p>
        </w:tc>
        <w:tc>
          <w:tcPr>
            <w:tcW w:type="dxa" w:w="1700"/>
          </w:tcPr>
          <w:p>
            <w:pPr>
              <w:spacing w:after="0"/>
            </w:pPr>
            <w:r>
              <w:rPr>
                <w:sz w:val="15"/>
              </w:rPr>
              <w:t>Leave (forecast error)</w:t>
            </w:r>
          </w:p>
        </w:tc>
        <w:tc>
          <w:tcPr>
            <w:tcW w:type="dxa" w:w="1700"/>
          </w:tcPr>
          <w:p>
            <w:pPr>
              <w:spacing w:after="0"/>
            </w:pPr>
            <w:r>
              <w:rPr>
                <w:sz w:val="15"/>
              </w:rPr>
              <w:t>-34,842 / 0</w:t>
            </w:r>
          </w:p>
        </w:tc>
        <w:tc>
          <w:tcPr>
            <w:tcW w:type="dxa" w:w="1700"/>
          </w:tcPr>
          <w:p>
            <w:pPr>
              <w:spacing w:after="0"/>
            </w:pPr>
            <w:r>
              <w:rPr>
                <w:sz w:val="15"/>
              </w:rPr>
              <w:t>D 1,906 vs 2,034; DF 1,283; NG 1,838 vs 1,928; TI -74 / -79</w:t>
            </w:r>
          </w:p>
        </w:tc>
        <w:tc>
          <w:tcPr>
            <w:tcW w:type="dxa" w:w="1700"/>
          </w:tcPr>
          <w:p>
            <w:pPr>
              <w:spacing w:after="0"/>
            </w:pPr>
            <w:r>
              <w:rPr>
                <w:sz w:val="15"/>
              </w:rPr>
              <w:t>demand in line with its prior week and neighbour-confirmed; forecast running about 30% low</w:t>
            </w:r>
          </w:p>
        </w:tc>
      </w:tr>
      <w:tr>
        <w:tc>
          <w:tcPr>
            <w:tcW w:type="dxa" w:w="1700"/>
          </w:tcPr>
          <w:p>
            <w:pPr>
              <w:spacing w:after="0"/>
            </w:pPr>
            <w:r>
              <w:rPr>
                <w:sz w:val="15"/>
              </w:rPr>
              <w:t>29</w:t>
            </w:r>
          </w:p>
        </w:tc>
        <w:tc>
          <w:tcPr>
            <w:tcW w:type="dxa" w:w="1700"/>
          </w:tcPr>
          <w:p>
            <w:pPr>
              <w:spacing w:after="0"/>
            </w:pPr>
            <w:r>
              <w:rPr>
                <w:sz w:val="15"/>
              </w:rPr>
              <w:t>SWPP, 2026-04-16 06:00, 24h</w:t>
            </w:r>
          </w:p>
        </w:tc>
        <w:tc>
          <w:tcPr>
            <w:tcW w:type="dxa" w:w="1700"/>
          </w:tcPr>
          <w:p>
            <w:pPr>
              <w:spacing w:after="0"/>
            </w:pPr>
            <w:r>
              <w:rPr>
                <w:sz w:val="15"/>
              </w:rPr>
              <w:t>Leave (forecast error)</w:t>
            </w:r>
          </w:p>
        </w:tc>
        <w:tc>
          <w:tcPr>
            <w:tcW w:type="dxa" w:w="1700"/>
          </w:tcPr>
          <w:p>
            <w:pPr>
              <w:spacing w:after="0"/>
            </w:pPr>
            <w:r>
              <w:rPr>
                <w:sz w:val="15"/>
              </w:rPr>
              <w:t>-636,189 / 0</w:t>
            </w:r>
          </w:p>
        </w:tc>
        <w:tc>
          <w:tcPr>
            <w:tcW w:type="dxa" w:w="1700"/>
          </w:tcPr>
          <w:p>
            <w:pPr>
              <w:spacing w:after="0"/>
            </w:pPr>
            <w:r>
              <w:rPr>
                <w:sz w:val="15"/>
              </w:rPr>
              <w:t>D 32,988 vs 32,077; DF 5,320; NG 32,484 vs 31,980; TI 274 / 464</w:t>
            </w:r>
          </w:p>
        </w:tc>
        <w:tc>
          <w:tcPr>
            <w:tcW w:type="dxa" w:w="1700"/>
          </w:tcPr>
          <w:p>
            <w:pPr>
              <w:spacing w:after="0"/>
            </w:pPr>
            <w:r>
              <w:rPr>
                <w:sz w:val="15"/>
              </w:rPr>
              <w:t>forecast collapses to a few thousand MW for a day; demand, generation and interchange normal</w:t>
            </w:r>
          </w:p>
        </w:tc>
      </w:tr>
      <w:tr>
        <w:tc>
          <w:tcPr>
            <w:tcW w:type="dxa" w:w="1700"/>
          </w:tcPr>
          <w:p>
            <w:pPr>
              <w:spacing w:after="0"/>
            </w:pPr>
            <w:r>
              <w:rPr>
                <w:sz w:val="15"/>
              </w:rPr>
              <w:t>30</w:t>
            </w:r>
          </w:p>
        </w:tc>
        <w:tc>
          <w:tcPr>
            <w:tcW w:type="dxa" w:w="1700"/>
          </w:tcPr>
          <w:p>
            <w:pPr>
              <w:spacing w:after="0"/>
            </w:pPr>
            <w:r>
              <w:rPr>
                <w:sz w:val="15"/>
              </w:rPr>
              <w:t>LDWP, 2026-04-18 08:00, 24h</w:t>
            </w:r>
          </w:p>
        </w:tc>
        <w:tc>
          <w:tcPr>
            <w:tcW w:type="dxa" w:w="1700"/>
          </w:tcPr>
          <w:p>
            <w:pPr>
              <w:spacing w:after="0"/>
            </w:pPr>
            <w:r>
              <w:rPr>
                <w:sz w:val="15"/>
              </w:rPr>
              <w:t>Backfill</w:t>
            </w:r>
          </w:p>
        </w:tc>
        <w:tc>
          <w:tcPr>
            <w:tcW w:type="dxa" w:w="1700"/>
          </w:tcPr>
          <w:p>
            <w:pPr>
              <w:spacing w:after="0"/>
            </w:pPr>
            <w:r>
              <w:rPr>
                <w:sz w:val="15"/>
              </w:rPr>
              <w:t>49,475 / 49,475</w:t>
            </w:r>
          </w:p>
        </w:tc>
        <w:tc>
          <w:tcPr>
            <w:tcW w:type="dxa" w:w="1700"/>
          </w:tcPr>
          <w:p>
            <w:pPr>
              <w:spacing w:after="0"/>
            </w:pPr>
            <w:r>
              <w:rPr>
                <w:sz w:val="15"/>
              </w:rPr>
              <w:t>D 160 vs 2,788; DF 2,122; NG 160 vs 1,668; TI 0 / -433</w:t>
            </w:r>
          </w:p>
        </w:tc>
        <w:tc>
          <w:tcPr>
            <w:tcW w:type="dxa" w:w="1700"/>
          </w:tcPr>
          <w:p>
            <w:pPr>
              <w:spacing w:after="0"/>
            </w:pPr>
            <w:r>
              <w:rPr>
                <w:sz w:val="15"/>
              </w:rPr>
              <w:t>interchange reported as exactly zero while neighbours report about 430 MW of imports; generation also collapses</w:t>
            </w:r>
          </w:p>
        </w:tc>
      </w:tr>
      <w:tr>
        <w:tc>
          <w:tcPr>
            <w:tcW w:type="dxa" w:w="1700"/>
          </w:tcPr>
          <w:p>
            <w:pPr>
              <w:spacing w:after="0"/>
            </w:pPr>
            <w:r>
              <w:rPr>
                <w:sz w:val="15"/>
              </w:rPr>
              <w:t>31</w:t>
            </w:r>
          </w:p>
        </w:tc>
        <w:tc>
          <w:tcPr>
            <w:tcW w:type="dxa" w:w="1700"/>
          </w:tcPr>
          <w:p>
            <w:pPr>
              <w:spacing w:after="0"/>
            </w:pPr>
            <w:r>
              <w:rPr>
                <w:sz w:val="15"/>
              </w:rPr>
              <w:t>FMPP, 2026-04-22 22:00, 36h</w:t>
            </w:r>
          </w:p>
        </w:tc>
        <w:tc>
          <w:tcPr>
            <w:tcW w:type="dxa" w:w="1700"/>
          </w:tcPr>
          <w:p>
            <w:pPr>
              <w:spacing w:after="0"/>
            </w:pPr>
            <w:r>
              <w:rPr>
                <w:sz w:val="15"/>
              </w:rPr>
              <w:t>Leave (forecast error)</w:t>
            </w:r>
          </w:p>
        </w:tc>
        <w:tc>
          <w:tcPr>
            <w:tcW w:type="dxa" w:w="1700"/>
          </w:tcPr>
          <w:p>
            <w:pPr>
              <w:spacing w:after="0"/>
            </w:pPr>
            <w:r>
              <w:rPr>
                <w:sz w:val="15"/>
              </w:rPr>
              <w:t>-21,674 / 0</w:t>
            </w:r>
          </w:p>
        </w:tc>
        <w:tc>
          <w:tcPr>
            <w:tcW w:type="dxa" w:w="1700"/>
          </w:tcPr>
          <w:p>
            <w:pPr>
              <w:spacing w:after="0"/>
            </w:pPr>
            <w:r>
              <w:rPr>
                <w:sz w:val="15"/>
              </w:rPr>
              <w:t>D 1,954 vs 2,009; DF 1,296; NG 1,742 vs 1,830; TI -118 / -126</w:t>
            </w:r>
          </w:p>
        </w:tc>
        <w:tc>
          <w:tcPr>
            <w:tcW w:type="dxa" w:w="1700"/>
          </w:tcPr>
          <w:p>
            <w:pPr>
              <w:spacing w:after="0"/>
            </w:pPr>
            <w:r>
              <w:rPr>
                <w:sz w:val="15"/>
              </w:rPr>
              <w:t>demand in line with its prior week and neighbour-confirmed; forecast running about 30% low</w:t>
            </w:r>
          </w:p>
        </w:tc>
      </w:tr>
      <w:tr>
        <w:tc>
          <w:tcPr>
            <w:tcW w:type="dxa" w:w="1700"/>
          </w:tcPr>
          <w:p>
            <w:pPr>
              <w:spacing w:after="0"/>
            </w:pPr>
            <w:r>
              <w:rPr>
                <w:sz w:val="15"/>
              </w:rPr>
              <w:t>32</w:t>
            </w:r>
          </w:p>
        </w:tc>
        <w:tc>
          <w:tcPr>
            <w:tcW w:type="dxa" w:w="1700"/>
          </w:tcPr>
          <w:p>
            <w:pPr>
              <w:spacing w:after="0"/>
            </w:pPr>
            <w:r>
              <w:rPr>
                <w:sz w:val="15"/>
              </w:rPr>
              <w:t>SRP, 2026-05-04 21:00, 34h</w:t>
            </w:r>
          </w:p>
        </w:tc>
        <w:tc>
          <w:tcPr>
            <w:tcW w:type="dxa" w:w="1700"/>
          </w:tcPr>
          <w:p>
            <w:pPr>
              <w:spacing w:after="0"/>
            </w:pPr>
            <w:r>
              <w:rPr>
                <w:sz w:val="15"/>
              </w:rPr>
              <w:t>Backfill</w:t>
            </w:r>
          </w:p>
        </w:tc>
        <w:tc>
          <w:tcPr>
            <w:tcW w:type="dxa" w:w="1700"/>
          </w:tcPr>
          <w:p>
            <w:pPr>
              <w:spacing w:after="0"/>
            </w:pPr>
            <w:r>
              <w:rPr>
                <w:sz w:val="15"/>
              </w:rPr>
              <w:t>59,629 / 59,629</w:t>
            </w:r>
          </w:p>
        </w:tc>
        <w:tc>
          <w:tcPr>
            <w:tcW w:type="dxa" w:w="1700"/>
          </w:tcPr>
          <w:p>
            <w:pPr>
              <w:spacing w:after="0"/>
            </w:pPr>
            <w:r>
              <w:rPr>
                <w:sz w:val="15"/>
              </w:rPr>
              <w:t>D 2,218 vs 3,236; DF 3,942; NG 5,102 vs 5,034; TI 3,183 / 1,596</w:t>
            </w:r>
          </w:p>
        </w:tc>
        <w:tc>
          <w:tcPr>
            <w:tcW w:type="dxa" w:w="1700"/>
          </w:tcPr>
          <w:p>
            <w:pPr>
              <w:spacing w:after="0"/>
            </w:pPr>
            <w:r>
              <w:rPr>
                <w:sz w:val="15"/>
              </w:rPr>
              <w:t>own interchange shows exports about 1,600 MW above what neighbours report, so demand is understated</w:t>
            </w:r>
          </w:p>
        </w:tc>
      </w:tr>
      <w:tr>
        <w:tc>
          <w:tcPr>
            <w:tcW w:type="dxa" w:w="1700"/>
          </w:tcPr>
          <w:p>
            <w:pPr>
              <w:spacing w:after="0"/>
            </w:pPr>
            <w:r>
              <w:rPr>
                <w:sz w:val="15"/>
              </w:rPr>
              <w:t>33</w:t>
            </w:r>
          </w:p>
        </w:tc>
        <w:tc>
          <w:tcPr>
            <w:tcW w:type="dxa" w:w="1700"/>
          </w:tcPr>
          <w:p>
            <w:pPr>
              <w:spacing w:after="0"/>
            </w:pPr>
            <w:r>
              <w:rPr>
                <w:sz w:val="15"/>
              </w:rPr>
              <w:t>NEVP, 2026-05-09 08:00, 24h</w:t>
            </w:r>
          </w:p>
        </w:tc>
        <w:tc>
          <w:tcPr>
            <w:tcW w:type="dxa" w:w="1700"/>
          </w:tcPr>
          <w:p>
            <w:pPr>
              <w:spacing w:after="0"/>
            </w:pPr>
            <w:r>
              <w:rPr>
                <w:sz w:val="15"/>
              </w:rPr>
              <w:t>Leave (forecast error)</w:t>
            </w:r>
          </w:p>
        </w:tc>
        <w:tc>
          <w:tcPr>
            <w:tcW w:type="dxa" w:w="1700"/>
          </w:tcPr>
          <w:p>
            <w:pPr>
              <w:spacing w:after="0"/>
            </w:pPr>
            <w:r>
              <w:rPr>
                <w:sz w:val="15"/>
              </w:rPr>
              <w:t>-107,826 / 0</w:t>
            </w:r>
          </w:p>
        </w:tc>
        <w:tc>
          <w:tcPr>
            <w:tcW w:type="dxa" w:w="1700"/>
          </w:tcPr>
          <w:p>
            <w:pPr>
              <w:spacing w:after="0"/>
            </w:pPr>
            <w:r>
              <w:rPr>
                <w:sz w:val="15"/>
              </w:rPr>
              <w:t>D 5,154 vs 4,364; DF 692 (one value all incident); NG 4,519 vs 4,160; TI -890 / -888</w:t>
            </w:r>
          </w:p>
        </w:tc>
        <w:tc>
          <w:tcPr>
            <w:tcW w:type="dxa" w:w="1700"/>
          </w:tcPr>
          <w:p>
            <w:pPr>
              <w:spacing w:after="0"/>
            </w:pPr>
            <w:r>
              <w:rPr>
                <w:sz w:val="15"/>
              </w:rPr>
              <w:t>forecast stuck at 692 MW for the whole day; demand in line with its prior week</w:t>
            </w:r>
          </w:p>
        </w:tc>
      </w:tr>
      <w:tr>
        <w:tc>
          <w:tcPr>
            <w:tcW w:type="dxa" w:w="1700"/>
          </w:tcPr>
          <w:p>
            <w:pPr>
              <w:spacing w:after="0"/>
            </w:pPr>
            <w:r>
              <w:rPr>
                <w:sz w:val="15"/>
              </w:rPr>
              <w:t>34</w:t>
            </w:r>
          </w:p>
        </w:tc>
        <w:tc>
          <w:tcPr>
            <w:tcW w:type="dxa" w:w="1700"/>
          </w:tcPr>
          <w:p>
            <w:pPr>
              <w:spacing w:after="0"/>
            </w:pPr>
            <w:r>
              <w:rPr>
                <w:sz w:val="15"/>
              </w:rPr>
              <w:t>IID, 2026-05-20 08:00, 24h</w:t>
            </w:r>
          </w:p>
        </w:tc>
        <w:tc>
          <w:tcPr>
            <w:tcW w:type="dxa" w:w="1700"/>
          </w:tcPr>
          <w:p>
            <w:pPr>
              <w:spacing w:after="0"/>
            </w:pPr>
            <w:r>
              <w:rPr>
                <w:sz w:val="15"/>
              </w:rPr>
              <w:t>Backfill</w:t>
            </w:r>
          </w:p>
        </w:tc>
        <w:tc>
          <w:tcPr>
            <w:tcW w:type="dxa" w:w="1700"/>
          </w:tcPr>
          <w:p>
            <w:pPr>
              <w:spacing w:after="0"/>
            </w:pPr>
            <w:r>
              <w:rPr>
                <w:sz w:val="15"/>
              </w:rPr>
              <w:t>11,704 / 11,704</w:t>
            </w:r>
          </w:p>
        </w:tc>
        <w:tc>
          <w:tcPr>
            <w:tcW w:type="dxa" w:w="1700"/>
          </w:tcPr>
          <w:p>
            <w:pPr>
              <w:spacing w:after="0"/>
            </w:pPr>
            <w:r>
              <w:rPr>
                <w:sz w:val="15"/>
              </w:rPr>
              <w:t>D -24 vs 417; DF 442; NG 0 vs 716; TI 8 / 293</w:t>
            </w:r>
          </w:p>
        </w:tc>
        <w:tc>
          <w:tcPr>
            <w:tcW w:type="dxa" w:w="1700"/>
          </w:tcPr>
          <w:p>
            <w:pPr>
              <w:spacing w:after="0"/>
            </w:pPr>
            <w:r>
              <w:rPr>
                <w:sz w:val="15"/>
              </w:rPr>
              <w:t>demand reported negative or zero with generation at zero while neighbours report flows into IID</w:t>
            </w:r>
          </w:p>
        </w:tc>
      </w:tr>
      <w:tr>
        <w:tc>
          <w:tcPr>
            <w:tcW w:type="dxa" w:w="1700"/>
          </w:tcPr>
          <w:p>
            <w:pPr>
              <w:spacing w:after="0"/>
            </w:pPr>
            <w:r>
              <w:rPr>
                <w:sz w:val="15"/>
              </w:rPr>
              <w:t>35</w:t>
            </w:r>
          </w:p>
        </w:tc>
        <w:tc>
          <w:tcPr>
            <w:tcW w:type="dxa" w:w="1700"/>
          </w:tcPr>
          <w:p>
            <w:pPr>
              <w:spacing w:after="0"/>
            </w:pPr>
            <w:r>
              <w:rPr>
                <w:sz w:val="15"/>
              </w:rPr>
              <w:t>FMPP, 2026-05-31 14:00, 27h</w:t>
            </w:r>
          </w:p>
        </w:tc>
        <w:tc>
          <w:tcPr>
            <w:tcW w:type="dxa" w:w="1700"/>
          </w:tcPr>
          <w:p>
            <w:pPr>
              <w:spacing w:after="0"/>
            </w:pPr>
            <w:r>
              <w:rPr>
                <w:sz w:val="15"/>
              </w:rPr>
              <w:t>Leave (forecast error)</w:t>
            </w:r>
          </w:p>
        </w:tc>
        <w:tc>
          <w:tcPr>
            <w:tcW w:type="dxa" w:w="1700"/>
          </w:tcPr>
          <w:p>
            <w:pPr>
              <w:spacing w:after="0"/>
            </w:pPr>
            <w:r>
              <w:rPr>
                <w:sz w:val="15"/>
              </w:rPr>
              <w:t>-23,081 / 0</w:t>
            </w:r>
          </w:p>
        </w:tc>
        <w:tc>
          <w:tcPr>
            <w:tcW w:type="dxa" w:w="1700"/>
          </w:tcPr>
          <w:p>
            <w:pPr>
              <w:spacing w:after="0"/>
            </w:pPr>
            <w:r>
              <w:rPr>
                <w:sz w:val="15"/>
              </w:rPr>
              <w:t>D 2,790 vs 2,602; DF 1,834; NG 2,733 vs 2,638; TI 3 / 8</w:t>
            </w:r>
          </w:p>
        </w:tc>
        <w:tc>
          <w:tcPr>
            <w:tcW w:type="dxa" w:w="1700"/>
          </w:tcPr>
          <w:p>
            <w:pPr>
              <w:spacing w:after="0"/>
            </w:pPr>
            <w:r>
              <w:rPr>
                <w:sz w:val="15"/>
              </w:rPr>
              <w:t>demand in line with its prior week and neighbour-confirmed; forecast running about 30% low</w:t>
            </w:r>
          </w:p>
        </w:tc>
      </w:tr>
      <w:tr>
        <w:tc>
          <w:tcPr>
            <w:tcW w:type="dxa" w:w="1700"/>
          </w:tcPr>
          <w:p>
            <w:pPr>
              <w:spacing w:after="0"/>
            </w:pPr>
            <w:r>
              <w:rPr>
                <w:sz w:val="15"/>
              </w:rPr>
              <w:t>36</w:t>
            </w:r>
          </w:p>
        </w:tc>
        <w:tc>
          <w:tcPr>
            <w:tcW w:type="dxa" w:w="1700"/>
          </w:tcPr>
          <w:p>
            <w:pPr>
              <w:spacing w:after="0"/>
            </w:pPr>
            <w:r>
              <w:rPr>
                <w:sz w:val="15"/>
              </w:rPr>
              <w:t>FMPP, 2026-06-13 15:00, 50h</w:t>
            </w:r>
          </w:p>
        </w:tc>
        <w:tc>
          <w:tcPr>
            <w:tcW w:type="dxa" w:w="1700"/>
          </w:tcPr>
          <w:p>
            <w:pPr>
              <w:spacing w:after="0"/>
            </w:pPr>
            <w:r>
              <w:rPr>
                <w:sz w:val="15"/>
              </w:rPr>
              <w:t>Leave (forecast error)</w:t>
            </w:r>
          </w:p>
        </w:tc>
        <w:tc>
          <w:tcPr>
            <w:tcW w:type="dxa" w:w="1700"/>
          </w:tcPr>
          <w:p>
            <w:pPr>
              <w:spacing w:after="0"/>
            </w:pPr>
            <w:r>
              <w:rPr>
                <w:sz w:val="15"/>
              </w:rPr>
              <w:t>-44,597 / 0</w:t>
            </w:r>
          </w:p>
        </w:tc>
        <w:tc>
          <w:tcPr>
            <w:tcW w:type="dxa" w:w="1700"/>
          </w:tcPr>
          <w:p>
            <w:pPr>
              <w:spacing w:after="0"/>
            </w:pPr>
            <w:r>
              <w:rPr>
                <w:sz w:val="15"/>
              </w:rPr>
              <w:t>D 2,796 vs 2,515; DF 1,898; NG 2,709 vs 2,452; TI -88 / -106</w:t>
            </w:r>
          </w:p>
        </w:tc>
        <w:tc>
          <w:tcPr>
            <w:tcW w:type="dxa" w:w="1700"/>
          </w:tcPr>
          <w:p>
            <w:pPr>
              <w:spacing w:after="0"/>
            </w:pPr>
            <w:r>
              <w:rPr>
                <w:sz w:val="15"/>
              </w:rPr>
              <w:t>demand in line with its prior week and neighbour-confirmed; forecast running about 30% low</w:t>
            </w:r>
          </w:p>
        </w:tc>
      </w:tr>
      <w:tr>
        <w:tc>
          <w:tcPr>
            <w:tcW w:type="dxa" w:w="1700"/>
          </w:tcPr>
          <w:p>
            <w:pPr>
              <w:spacing w:after="0"/>
            </w:pPr>
            <w:r>
              <w:rPr>
                <w:sz w:val="15"/>
              </w:rPr>
              <w:t>37</w:t>
            </w:r>
          </w:p>
        </w:tc>
        <w:tc>
          <w:tcPr>
            <w:tcW w:type="dxa" w:w="1700"/>
          </w:tcPr>
          <w:p>
            <w:pPr>
              <w:spacing w:after="0"/>
            </w:pPr>
            <w:r>
              <w:rPr>
                <w:sz w:val="15"/>
              </w:rPr>
              <w:t>NEVP, 2026-06-18 08:00, 24h</w:t>
            </w:r>
          </w:p>
        </w:tc>
        <w:tc>
          <w:tcPr>
            <w:tcW w:type="dxa" w:w="1700"/>
          </w:tcPr>
          <w:p>
            <w:pPr>
              <w:spacing w:after="0"/>
            </w:pPr>
            <w:r>
              <w:rPr>
                <w:sz w:val="15"/>
              </w:rPr>
              <w:t>Leave (forecast error)</w:t>
            </w:r>
          </w:p>
        </w:tc>
        <w:tc>
          <w:tcPr>
            <w:tcW w:type="dxa" w:w="1700"/>
          </w:tcPr>
          <w:p>
            <w:pPr>
              <w:spacing w:after="0"/>
            </w:pPr>
            <w:r>
              <w:rPr>
                <w:sz w:val="15"/>
              </w:rPr>
              <w:t>-145,726 / 0</w:t>
            </w:r>
          </w:p>
        </w:tc>
        <w:tc>
          <w:tcPr>
            <w:tcW w:type="dxa" w:w="1700"/>
          </w:tcPr>
          <w:p>
            <w:pPr>
              <w:spacing w:after="0"/>
            </w:pPr>
            <w:r>
              <w:rPr>
                <w:sz w:val="15"/>
              </w:rPr>
              <w:t>D 6,864 vs 6,536; DF 692 (one value all incident); NG 5,998 vs 5,852; TI -931 / -863</w:t>
            </w:r>
          </w:p>
        </w:tc>
        <w:tc>
          <w:tcPr>
            <w:tcW w:type="dxa" w:w="1700"/>
          </w:tcPr>
          <w:p>
            <w:pPr>
              <w:spacing w:after="0"/>
            </w:pPr>
            <w:r>
              <w:rPr>
                <w:sz w:val="15"/>
              </w:rPr>
              <w:t>forecast stuck at 692 MW for the whole day; demand in line with its prior week</w:t>
            </w:r>
          </w:p>
        </w:tc>
      </w:tr>
      <w:tr>
        <w:tc>
          <w:tcPr>
            <w:tcW w:type="dxa" w:w="1700"/>
          </w:tcPr>
          <w:p>
            <w:pPr>
              <w:spacing w:after="0"/>
            </w:pPr>
            <w:r>
              <w:rPr>
                <w:sz w:val="15"/>
              </w:rPr>
              <w:t>38</w:t>
            </w:r>
          </w:p>
        </w:tc>
        <w:tc>
          <w:tcPr>
            <w:tcW w:type="dxa" w:w="1700"/>
          </w:tcPr>
          <w:p>
            <w:pPr>
              <w:spacing w:after="0"/>
            </w:pPr>
            <w:r>
              <w:rPr>
                <w:sz w:val="15"/>
              </w:rPr>
              <w:t>IID, 2026-06-22 08:00, 24h</w:t>
            </w:r>
          </w:p>
        </w:tc>
        <w:tc>
          <w:tcPr>
            <w:tcW w:type="dxa" w:w="1700"/>
          </w:tcPr>
          <w:p>
            <w:pPr>
              <w:spacing w:after="0"/>
            </w:pPr>
            <w:r>
              <w:rPr>
                <w:sz w:val="15"/>
              </w:rPr>
              <w:t>Backfill</w:t>
            </w:r>
          </w:p>
        </w:tc>
        <w:tc>
          <w:tcPr>
            <w:tcW w:type="dxa" w:w="1700"/>
          </w:tcPr>
          <w:p>
            <w:pPr>
              <w:spacing w:after="0"/>
            </w:pPr>
            <w:r>
              <w:rPr>
                <w:sz w:val="15"/>
              </w:rPr>
              <w:t>14,270 / 14,270</w:t>
            </w:r>
          </w:p>
        </w:tc>
        <w:tc>
          <w:tcPr>
            <w:tcW w:type="dxa" w:w="1700"/>
          </w:tcPr>
          <w:p>
            <w:pPr>
              <w:spacing w:after="0"/>
            </w:pPr>
            <w:r>
              <w:rPr>
                <w:sz w:val="15"/>
              </w:rPr>
              <w:t>D 0 vs 588; DF 586; NG 866 vs 874; TI 343 / 343</w:t>
            </w:r>
          </w:p>
        </w:tc>
        <w:tc>
          <w:tcPr>
            <w:tcW w:type="dxa" w:w="1700"/>
          </w:tcPr>
          <w:p>
            <w:pPr>
              <w:spacing w:after="0"/>
            </w:pPr>
            <w:r>
              <w:rPr>
                <w:sz w:val="15"/>
              </w:rPr>
              <w:t>demand reported as zero while generation and interchange stay at normal levels</w:t>
            </w:r>
          </w:p>
        </w:tc>
      </w:tr>
    </w:tbl>
    <w:p>
      <w:pPr>
        <w:spacing w:after="40" w:before="160"/>
      </w:pPr>
      <w:r>
        <w:rPr>
          <w:b/>
          <w:sz w:val="23"/>
        </w:rPr>
        <w:t>Why no other decision survives</w:t>
      </w:r>
    </w:p>
    <w:p>
      <w:pPr>
        <w:spacing w:after="80"/>
      </w:pPr>
      <w:r>
        <w:rPr>
          <w:b w:val="0"/>
        </w:rPr>
        <w:t>Running the job as submitted fails DQ-STD-007 section 2 on 21 incidents. Rejecting it fails the purpose of the standard on 17 incidents where the published demand is plainly wrong (whole days of zero load at IID and TIDC; LDWP interchange reported as zero while its neighbours report about 1,100 MW of imports into it). Removing incidents is the only option that leaves every reported value that matches the evidence and replaces every one that does not. The largest single item, SWPP on 16 April 2026 (-636,189 MWh submitted), is a broken forecast, not broken demand. The three closest calls are LDWP from 17 November 2024, WAUW from 17 December 2025 and SRP from 4 May 2026. All three are backfilled: in each one input to demand departs from the evidence while the others hold (two generation readings that collapse with interchange unchanged, and one interchange reading that its neighbours contradict).</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