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ptos" w:hAnsi="Aptos"/>
          <w:b/>
          <w:i w:val="0"/>
          <w:color w:val="12392F"/>
          <w:sz w:val="20"/>
        </w:rPr>
        <w:t>DEFENSIVE SECURITY  •  BUILT FOR AFRICA</w:t>
      </w:r>
    </w:p>
    <w:p>
      <w:pPr>
        <w:jc w:val="center"/>
      </w:pPr>
      <w:r>
        <w:rPr>
          <w:rFonts w:ascii="Aptos Display" w:hAnsi="Aptos Display"/>
          <w:b/>
          <w:i w:val="0"/>
          <w:color w:val="10221C"/>
          <w:sz w:val="72"/>
        </w:rPr>
        <w:t>KingaWeb</w:t>
      </w:r>
    </w:p>
    <w:p>
      <w:pPr>
        <w:jc w:val="center"/>
      </w:pPr>
      <w:r>
        <w:rPr>
          <w:rFonts w:ascii="Aptos Display" w:hAnsi="Aptos Display"/>
          <w:b w:val="0"/>
          <w:i w:val="0"/>
          <w:color w:val="12392F"/>
          <w:sz w:val="36"/>
        </w:rPr>
        <w:t>Product &amp; Engineering Master Plan</w:t>
      </w:r>
    </w:p>
    <w:p>
      <w:pPr>
        <w:jc w:val="center"/>
      </w:pPr>
      <w:r>
        <w:rPr>
          <w:rFonts w:ascii="Aptos" w:hAnsi="Aptos"/>
          <w:b w:val="0"/>
          <w:i/>
          <w:color w:val="65716C"/>
          <w:sz w:val="24"/>
        </w:rPr>
        <w:t>A living blueprint from prototype to trusted African security platform</w:t>
      </w:r>
    </w:p>
    <w:p/>
    <w:p>
      <w:pPr>
        <w:pStyle w:val="Callout"/>
        <w:shd w:fill="12392F"/>
        <w:spacing w:before="170" w:after="170"/>
      </w:pPr>
      <w:r>
        <w:rPr>
          <w:rFonts w:ascii="Aptos" w:hAnsi="Aptos"/>
          <w:b/>
          <w:i w:val="0"/>
          <w:color w:val="FFFFFF"/>
          <w:sz w:val="19"/>
        </w:rPr>
        <w:t xml:space="preserve">NORTH-STAR PROMISE  </w:t>
      </w:r>
      <w:r>
        <w:rPr>
          <w:rFonts w:ascii="Aptos" w:hAnsi="Aptos"/>
          <w:b w:val="0"/>
          <w:i w:val="0"/>
          <w:color w:val="FFFFFF"/>
          <w:sz w:val="21"/>
        </w:rPr>
        <w:t>KingaWeb helps organizations discover public-facing risks early, understand them in plain language, and close them through a verifiable remediation workflow.</w:t>
      </w:r>
    </w:p>
    <w:p>
      <w:pPr>
        <w:jc w:val="center"/>
      </w:pPr>
      <w:r>
        <w:rPr>
          <w:rFonts w:ascii="Aptos" w:hAnsi="Aptos"/>
          <w:b w:val="0"/>
          <w:i w:val="0"/>
          <w:color w:val="65716C"/>
          <w:sz w:val="19"/>
        </w:rPr>
        <w:t>Document owner: KingaWeb Product Team</w:t>
        <w:br/>
        <w:t>Version 1.0  |  23 August 2026  |  Status: Approved working baseline</w:t>
      </w:r>
    </w:p>
    <w:p>
      <w:r>
        <w:br w:type="page"/>
      </w:r>
    </w:p>
    <w:p>
      <w:pPr>
        <w:pStyle w:val="Heading1"/>
      </w:pPr>
      <w:r>
        <w:t>How to use this master plan</w:t>
      </w:r>
    </w:p>
    <w:p>
      <w:r>
        <w:rPr>
          <w:rFonts w:ascii="Aptos" w:hAnsi="Aptos"/>
          <w:b w:val="0"/>
          <w:i w:val="0"/>
          <w:color w:val="10221C"/>
          <w:sz w:val="22"/>
        </w:rPr>
        <w:t>This document is the durable decision record for KingaWeb. It defines what we are building, why it should exist, how it must be engineered, and what “complete” means for each release. It should evolve through controlled versions as customer evidence, regulation, threat patterns and technology change.</w:t>
      </w:r>
    </w:p>
    <w:p>
      <w:pPr>
        <w:pStyle w:val="Callout"/>
        <w:shd w:fill="EAF3E7"/>
        <w:spacing w:before="170" w:after="170"/>
      </w:pPr>
      <w:r>
        <w:rPr>
          <w:rFonts w:ascii="Aptos" w:hAnsi="Aptos"/>
          <w:b/>
          <w:i w:val="0"/>
          <w:color w:val="12392F"/>
          <w:sz w:val="19"/>
        </w:rPr>
        <w:t xml:space="preserve">IMPORTANT DISTINCTION  </w:t>
      </w:r>
      <w:r>
        <w:rPr>
          <w:rFonts w:ascii="Aptos" w:hAnsi="Aptos"/>
          <w:b w:val="0"/>
          <w:i w:val="0"/>
          <w:color w:val="10221C"/>
          <w:sz w:val="21"/>
        </w:rPr>
        <w:t>KingaWeb can reach 100% of a defined release, but a security platform is never permanently finished. After Version 1 reaches its release criteria, development continues through monitoring improvements, new integrations, threat research and regional expansion.</w:t>
      </w:r>
    </w:p>
    <w:p>
      <w:pPr>
        <w:pStyle w:val="Heading2"/>
      </w:pPr>
      <w:r>
        <w:t>Decision hierarchy</w:t>
      </w:r>
    </w:p>
    <w:p>
      <w:pPr>
        <w:pStyle w:val="ListBullet"/>
      </w:pPr>
      <w:r>
        <w:rPr>
          <w:rFonts w:ascii="Aptos" w:hAnsi="Aptos"/>
          <w:b w:val="0"/>
          <w:i w:val="0"/>
          <w:color w:val="10221C"/>
          <w:sz w:val="22"/>
        </w:rPr>
        <w:t>Safety and authorization outrank feature speed.</w:t>
      </w:r>
    </w:p>
    <w:p>
      <w:pPr>
        <w:pStyle w:val="ListBullet"/>
      </w:pPr>
      <w:r>
        <w:rPr>
          <w:rFonts w:ascii="Aptos" w:hAnsi="Aptos"/>
          <w:b w:val="0"/>
          <w:i w:val="0"/>
          <w:color w:val="10221C"/>
          <w:sz w:val="22"/>
        </w:rPr>
        <w:t>Verified user problems outrank attractive but unsupported ideas.</w:t>
      </w:r>
    </w:p>
    <w:p>
      <w:pPr>
        <w:pStyle w:val="ListBullet"/>
      </w:pPr>
      <w:r>
        <w:rPr>
          <w:rFonts w:ascii="Aptos" w:hAnsi="Aptos"/>
          <w:b w:val="0"/>
          <w:i w:val="0"/>
          <w:color w:val="10221C"/>
          <w:sz w:val="22"/>
        </w:rPr>
        <w:t>Reliable, explainable findings outrank a large count of noisy findings.</w:t>
      </w:r>
    </w:p>
    <w:p>
      <w:pPr>
        <w:pStyle w:val="ListBullet"/>
      </w:pPr>
      <w:r>
        <w:rPr>
          <w:rFonts w:ascii="Aptos" w:hAnsi="Aptos"/>
          <w:b w:val="0"/>
          <w:i w:val="0"/>
          <w:color w:val="10221C"/>
          <w:sz w:val="22"/>
        </w:rPr>
        <w:t>Mobile usability and low-bandwidth operation are first-class requirements.</w:t>
      </w:r>
    </w:p>
    <w:p>
      <w:pPr>
        <w:pStyle w:val="ListBullet"/>
      </w:pPr>
      <w:r>
        <w:rPr>
          <w:rFonts w:ascii="Aptos" w:hAnsi="Aptos"/>
          <w:b w:val="0"/>
          <w:i w:val="0"/>
          <w:color w:val="10221C"/>
          <w:sz w:val="22"/>
        </w:rPr>
        <w:t>A release is complete only when its acceptance, security, operational and documentation gates pass.</w:t>
      </w:r>
    </w:p>
    <w:p>
      <w:pPr>
        <w:pStyle w:val="Heading2"/>
      </w:pPr>
      <w:r>
        <w:t>Document governance</w:t>
      </w:r>
    </w:p>
    <w:tbl>
      <w:tblPr>
        <w:tblW w:type="auto" w:w="0"/>
        <w:jc w:val="left"/>
        <w:tblLayout w:type="fixed"/>
        <w:tblLook w:firstColumn="1" w:firstRow="1" w:lastColumn="0" w:lastRow="0" w:noHBand="0" w:noVBand="1" w:val="04A0"/>
        <w:tblW w:w="9360" w:type="dxa"/>
        <w:tblInd w:w="120" w:type="dxa"/>
      </w:tblPr>
      <w:tblGrid>
        <w:gridCol w:w="2232"/>
        <w:gridCol w:w="7128"/>
      </w:tblGrid>
      <w:tr>
        <w:trPr>
          <w:tblHeader w:val="true"/>
        </w:trPr>
        <w:tc>
          <w:tcPr>
            <w:tcW w:type="dxa" w:w="2232"/>
            <w:vAlign w:val="center"/>
            <w:tcW w:w="2232" w:type="dxa"/>
            <w:tcMar>
              <w:top w:w="80" w:type="dxa"/>
              <w:start w:w="120" w:type="dxa"/>
              <w:bottom w:w="80" w:type="dxa"/>
              <w:end w:w="120" w:type="dxa"/>
            </w:tcMar>
            <w:shd w:fill="12392F"/>
          </w:tcPr>
          <w:p>
            <w:pPr>
              <w:spacing w:after="0" w:line="252" w:lineRule="auto"/>
            </w:pPr>
            <w:r>
              <w:rPr>
                <w:rFonts w:ascii="Aptos" w:hAnsi="Aptos"/>
                <w:b/>
                <w:i w:val="0"/>
                <w:color w:val="FFFFFF"/>
                <w:sz w:val="17"/>
              </w:rPr>
              <w:t>Item</w:t>
            </w:r>
          </w:p>
        </w:tc>
        <w:tc>
          <w:tcPr>
            <w:tcW w:type="dxa" w:w="7128"/>
            <w:vAlign w:val="center"/>
            <w:tcW w:w="7128" w:type="dxa"/>
            <w:tcMar>
              <w:top w:w="80" w:type="dxa"/>
              <w:start w:w="120" w:type="dxa"/>
              <w:bottom w:w="80" w:type="dxa"/>
              <w:end w:w="120" w:type="dxa"/>
            </w:tcMar>
            <w:shd w:fill="12392F"/>
          </w:tcPr>
          <w:p>
            <w:pPr>
              <w:spacing w:after="0" w:line="252" w:lineRule="auto"/>
            </w:pPr>
            <w:r>
              <w:rPr>
                <w:rFonts w:ascii="Aptos" w:hAnsi="Aptos"/>
                <w:b/>
                <w:i w:val="0"/>
                <w:color w:val="FFFFFF"/>
                <w:sz w:val="17"/>
              </w:rPr>
              <w:t>Rule</w:t>
            </w:r>
          </w:p>
        </w:tc>
      </w:tr>
      <w:tr>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Change control</w:t>
            </w:r>
          </w:p>
        </w:tc>
        <w:tc>
          <w:tcPr>
            <w:tcW w:type="dxa" w:w="7128"/>
            <w:vAlign w:val="center"/>
            <w:tcW w:w="7128" w:type="dxa"/>
            <w:tcMar>
              <w:top w:w="80" w:type="dxa"/>
              <w:start w:w="120" w:type="dxa"/>
              <w:bottom w:w="80" w:type="dxa"/>
              <w:end w:w="120" w:type="dxa"/>
            </w:tcMar>
            <w:shd w:fill="FFFFFF"/>
          </w:tcPr>
          <w:p>
            <w:pPr>
              <w:spacing w:after="0" w:line="252" w:lineRule="auto"/>
            </w:pPr>
            <w:r>
              <w:rPr>
                <w:rFonts w:ascii="Aptos" w:hAnsi="Aptos"/>
                <w:b w:val="0"/>
                <w:i w:val="0"/>
                <w:color w:val="10221C"/>
                <w:sz w:val="17"/>
              </w:rPr>
              <w:t>Major scope or architecture changes require a dated decision record.</w:t>
            </w:r>
          </w:p>
        </w:tc>
      </w:tr>
      <w:tr>
        <w:tc>
          <w:tcPr>
            <w:tcW w:type="dxa" w:w="2232"/>
            <w:vAlign w:val="center"/>
            <w:tcW w:w="2232" w:type="dxa"/>
            <w:tcMar>
              <w:top w:w="80" w:type="dxa"/>
              <w:start w:w="120" w:type="dxa"/>
              <w:bottom w:w="80" w:type="dxa"/>
              <w:end w:w="120" w:type="dxa"/>
            </w:tcMar>
            <w:shd w:fill="F3F5F1"/>
          </w:tcPr>
          <w:p>
            <w:pPr>
              <w:spacing w:after="0" w:line="252" w:lineRule="auto"/>
            </w:pPr>
            <w:r>
              <w:rPr>
                <w:rFonts w:ascii="Aptos" w:hAnsi="Aptos"/>
                <w:b w:val="0"/>
                <w:i w:val="0"/>
                <w:color w:val="10221C"/>
                <w:sz w:val="17"/>
              </w:rPr>
              <w:t>Review cadence</w:t>
            </w:r>
          </w:p>
        </w:tc>
        <w:tc>
          <w:tcPr>
            <w:tcW w:type="dxa" w:w="7128"/>
            <w:vAlign w:val="center"/>
            <w:tcW w:w="7128" w:type="dxa"/>
            <w:tcMar>
              <w:top w:w="80" w:type="dxa"/>
              <w:start w:w="120" w:type="dxa"/>
              <w:bottom w:w="80" w:type="dxa"/>
              <w:end w:w="120" w:type="dxa"/>
            </w:tcMar>
            <w:shd w:fill="F3F5F1"/>
          </w:tcPr>
          <w:p>
            <w:pPr>
              <w:spacing w:after="0" w:line="252" w:lineRule="auto"/>
            </w:pPr>
            <w:r>
              <w:rPr>
                <w:rFonts w:ascii="Aptos" w:hAnsi="Aptos"/>
                <w:b w:val="0"/>
                <w:i w:val="0"/>
                <w:color w:val="10221C"/>
                <w:sz w:val="17"/>
              </w:rPr>
              <w:t>Review monthly during build; quarterly after public launch.</w:t>
            </w:r>
          </w:p>
        </w:tc>
      </w:tr>
      <w:tr>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Versioning</w:t>
            </w:r>
          </w:p>
        </w:tc>
        <w:tc>
          <w:tcPr>
            <w:tcW w:type="dxa" w:w="7128"/>
            <w:vAlign w:val="center"/>
            <w:tcW w:w="7128" w:type="dxa"/>
            <w:tcMar>
              <w:top w:w="80" w:type="dxa"/>
              <w:start w:w="120" w:type="dxa"/>
              <w:bottom w:w="80" w:type="dxa"/>
              <w:end w:w="120" w:type="dxa"/>
            </w:tcMar>
            <w:shd w:fill="FFFFFF"/>
          </w:tcPr>
          <w:p>
            <w:pPr>
              <w:spacing w:after="0" w:line="252" w:lineRule="auto"/>
            </w:pPr>
            <w:r>
              <w:rPr>
                <w:rFonts w:ascii="Aptos" w:hAnsi="Aptos"/>
                <w:b w:val="0"/>
                <w:i w:val="0"/>
                <w:color w:val="10221C"/>
                <w:sz w:val="17"/>
              </w:rPr>
              <w:t>Major.Minor format; major for strategy/architecture changes, minor for clarified execution.</w:t>
            </w:r>
          </w:p>
        </w:tc>
      </w:tr>
      <w:tr>
        <w:tc>
          <w:tcPr>
            <w:tcW w:type="dxa" w:w="2232"/>
            <w:vAlign w:val="center"/>
            <w:tcW w:w="2232" w:type="dxa"/>
            <w:tcMar>
              <w:top w:w="80" w:type="dxa"/>
              <w:start w:w="120" w:type="dxa"/>
              <w:bottom w:w="80" w:type="dxa"/>
              <w:end w:w="120" w:type="dxa"/>
            </w:tcMar>
            <w:shd w:fill="F3F5F1"/>
          </w:tcPr>
          <w:p>
            <w:pPr>
              <w:spacing w:after="0" w:line="252" w:lineRule="auto"/>
            </w:pPr>
            <w:r>
              <w:rPr>
                <w:rFonts w:ascii="Aptos" w:hAnsi="Aptos"/>
                <w:b w:val="0"/>
                <w:i w:val="0"/>
                <w:color w:val="10221C"/>
                <w:sz w:val="17"/>
              </w:rPr>
              <w:t>Source of truth</w:t>
            </w:r>
          </w:p>
        </w:tc>
        <w:tc>
          <w:tcPr>
            <w:tcW w:type="dxa" w:w="7128"/>
            <w:vAlign w:val="center"/>
            <w:tcW w:w="7128" w:type="dxa"/>
            <w:tcMar>
              <w:top w:w="80" w:type="dxa"/>
              <w:start w:w="120" w:type="dxa"/>
              <w:bottom w:w="80" w:type="dxa"/>
              <w:end w:w="120" w:type="dxa"/>
            </w:tcMar>
            <w:shd w:fill="F3F5F1"/>
          </w:tcPr>
          <w:p>
            <w:pPr>
              <w:spacing w:after="0" w:line="252" w:lineRule="auto"/>
            </w:pPr>
            <w:r>
              <w:rPr>
                <w:rFonts w:ascii="Aptos" w:hAnsi="Aptos"/>
                <w:b w:val="0"/>
                <w:i w:val="0"/>
                <w:color w:val="10221C"/>
                <w:sz w:val="17"/>
              </w:rPr>
              <w:t>This document plus repository issues, ADRs and release checklists.</w:t>
            </w:r>
          </w:p>
        </w:tc>
      </w:tr>
      <w:tr>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Definition of done</w:t>
            </w:r>
          </w:p>
        </w:tc>
        <w:tc>
          <w:tcPr>
            <w:tcW w:type="dxa" w:w="7128"/>
            <w:vAlign w:val="center"/>
            <w:tcW w:w="7128" w:type="dxa"/>
            <w:tcMar>
              <w:top w:w="80" w:type="dxa"/>
              <w:start w:w="120" w:type="dxa"/>
              <w:bottom w:w="80" w:type="dxa"/>
              <w:end w:w="120" w:type="dxa"/>
            </w:tcMar>
            <w:shd w:fill="FFFFFF"/>
          </w:tcPr>
          <w:p>
            <w:pPr>
              <w:spacing w:after="0" w:line="252" w:lineRule="auto"/>
            </w:pPr>
            <w:r>
              <w:rPr>
                <w:rFonts w:ascii="Aptos" w:hAnsi="Aptos"/>
                <w:b w:val="0"/>
                <w:i w:val="0"/>
                <w:color w:val="10221C"/>
                <w:sz w:val="17"/>
              </w:rPr>
              <w:t>Code, tests, security checks, observability, documentation and acceptance evidence.</w:t>
            </w:r>
          </w:p>
        </w:tc>
      </w:tr>
    </w:tbl>
    <w:p>
      <w:pPr>
        <w:spacing w:after="40"/>
      </w:pPr>
    </w:p>
    <w:p>
      <w:r>
        <w:br w:type="page"/>
      </w:r>
    </w:p>
    <w:p>
      <w:pPr>
        <w:pStyle w:val="Heading1"/>
      </w:pPr>
      <w:r>
        <w:t>Contents</w:t>
      </w:r>
    </w:p>
    <w:p>
      <w:r>
        <w:rPr>
          <w:rFonts w:ascii="Aptos" w:hAnsi="Aptos"/>
          <w:b w:val="0"/>
          <w:i w:val="0"/>
          <w:color w:val="10221C"/>
          <w:sz w:val="22"/>
        </w:rPr>
        <w:t>01  Executive vision and product thesis</w:t>
      </w:r>
    </w:p>
    <w:p>
      <w:r>
        <w:rPr>
          <w:rFonts w:ascii="Aptos" w:hAnsi="Aptos"/>
          <w:b w:val="0"/>
          <w:i w:val="0"/>
          <w:color w:val="10221C"/>
          <w:sz w:val="22"/>
        </w:rPr>
        <w:t>02  Market position and differentiation</w:t>
      </w:r>
    </w:p>
    <w:p>
      <w:r>
        <w:rPr>
          <w:rFonts w:ascii="Aptos" w:hAnsi="Aptos"/>
          <w:b w:val="0"/>
          <w:i w:val="0"/>
          <w:color w:val="10221C"/>
          <w:sz w:val="22"/>
        </w:rPr>
        <w:t>03  Users and jobs to be done</w:t>
      </w:r>
    </w:p>
    <w:p>
      <w:r>
        <w:rPr>
          <w:rFonts w:ascii="Aptos" w:hAnsi="Aptos"/>
          <w:b w:val="0"/>
          <w:i w:val="0"/>
          <w:color w:val="10221C"/>
          <w:sz w:val="22"/>
        </w:rPr>
        <w:t>04  Product scope and capability map</w:t>
      </w:r>
    </w:p>
    <w:p>
      <w:r>
        <w:rPr>
          <w:rFonts w:ascii="Aptos" w:hAnsi="Aptos"/>
          <w:b w:val="0"/>
          <w:i w:val="0"/>
          <w:color w:val="10221C"/>
          <w:sz w:val="22"/>
        </w:rPr>
        <w:t>05  Experience and interface system</w:t>
      </w:r>
    </w:p>
    <w:p>
      <w:r>
        <w:rPr>
          <w:rFonts w:ascii="Aptos" w:hAnsi="Aptos"/>
          <w:b w:val="0"/>
          <w:i w:val="0"/>
          <w:color w:val="10221C"/>
          <w:sz w:val="22"/>
        </w:rPr>
        <w:t>06  System architecture</w:t>
      </w:r>
    </w:p>
    <w:p>
      <w:r>
        <w:rPr>
          <w:rFonts w:ascii="Aptos" w:hAnsi="Aptos"/>
          <w:b w:val="0"/>
          <w:i w:val="0"/>
          <w:color w:val="10221C"/>
          <w:sz w:val="22"/>
        </w:rPr>
        <w:t>07  Scanner, findings and AI intelligence</w:t>
      </w:r>
    </w:p>
    <w:p>
      <w:r>
        <w:rPr>
          <w:rFonts w:ascii="Aptos" w:hAnsi="Aptos"/>
          <w:b w:val="0"/>
          <w:i w:val="0"/>
          <w:color w:val="10221C"/>
          <w:sz w:val="22"/>
        </w:rPr>
        <w:t>08  Security, privacy and abuse prevention</w:t>
      </w:r>
    </w:p>
    <w:p>
      <w:r>
        <w:rPr>
          <w:rFonts w:ascii="Aptos" w:hAnsi="Aptos"/>
          <w:b w:val="0"/>
          <w:i w:val="0"/>
          <w:color w:val="10221C"/>
          <w:sz w:val="22"/>
        </w:rPr>
        <w:t>09  Data model and APIs</w:t>
      </w:r>
    </w:p>
    <w:p>
      <w:r>
        <w:rPr>
          <w:rFonts w:ascii="Aptos" w:hAnsi="Aptos"/>
          <w:b w:val="0"/>
          <w:i w:val="0"/>
          <w:color w:val="10221C"/>
          <w:sz w:val="22"/>
        </w:rPr>
        <w:t>10  Delivery roadmap</w:t>
      </w:r>
    </w:p>
    <w:p>
      <w:r>
        <w:rPr>
          <w:rFonts w:ascii="Aptos" w:hAnsi="Aptos"/>
          <w:b w:val="0"/>
          <w:i w:val="0"/>
          <w:color w:val="10221C"/>
          <w:sz w:val="22"/>
        </w:rPr>
        <w:t>11  Engineering standards and testing</w:t>
      </w:r>
    </w:p>
    <w:p>
      <w:r>
        <w:rPr>
          <w:rFonts w:ascii="Aptos" w:hAnsi="Aptos"/>
          <w:b w:val="0"/>
          <w:i w:val="0"/>
          <w:color w:val="10221C"/>
          <w:sz w:val="22"/>
        </w:rPr>
        <w:t>12  Infrastructure and operations</w:t>
      </w:r>
    </w:p>
    <w:p>
      <w:r>
        <w:rPr>
          <w:rFonts w:ascii="Aptos" w:hAnsi="Aptos"/>
          <w:b w:val="0"/>
          <w:i w:val="0"/>
          <w:color w:val="10221C"/>
          <w:sz w:val="22"/>
        </w:rPr>
        <w:t>13  Commercial model and go-to-market</w:t>
      </w:r>
    </w:p>
    <w:p>
      <w:r>
        <w:rPr>
          <w:rFonts w:ascii="Aptos" w:hAnsi="Aptos"/>
          <w:b w:val="0"/>
          <w:i w:val="0"/>
          <w:color w:val="10221C"/>
          <w:sz w:val="22"/>
        </w:rPr>
        <w:t>14  Metrics, risks and governance</w:t>
      </w:r>
    </w:p>
    <w:p>
      <w:r>
        <w:rPr>
          <w:rFonts w:ascii="Aptos" w:hAnsi="Aptos"/>
          <w:b w:val="0"/>
          <w:i w:val="0"/>
          <w:color w:val="10221C"/>
          <w:sz w:val="22"/>
        </w:rPr>
        <w:t>15  Release-one completion checklist</w:t>
      </w:r>
    </w:p>
    <w:p>
      <w:r>
        <w:rPr>
          <w:rFonts w:ascii="Aptos" w:hAnsi="Aptos"/>
          <w:b w:val="0"/>
          <w:i w:val="0"/>
          <w:color w:val="10221C"/>
          <w:sz w:val="22"/>
        </w:rPr>
        <w:t>16  Post-launch continuous development</w:t>
      </w:r>
    </w:p>
    <w:p>
      <w:r>
        <w:rPr>
          <w:rFonts w:ascii="Aptos" w:hAnsi="Aptos"/>
          <w:b w:val="0"/>
          <w:i w:val="0"/>
          <w:color w:val="10221C"/>
          <w:sz w:val="22"/>
        </w:rPr>
        <w:t>17  Reference standards and glossary</w:t>
      </w:r>
    </w:p>
    <w:p>
      <w:r>
        <w:br w:type="page"/>
      </w:r>
    </w:p>
    <w:p>
      <w:pPr>
        <w:pStyle w:val="Heading1"/>
      </w:pPr>
      <w:r>
        <w:t>1. Executive vision and product thesis</w:t>
      </w:r>
    </w:p>
    <w:p>
      <w:pPr>
        <w:pStyle w:val="Heading2"/>
      </w:pPr>
      <w:r>
        <w:t>1.1 Vision</w:t>
      </w:r>
    </w:p>
    <w:p>
      <w:r>
        <w:rPr>
          <w:rFonts w:ascii="Aptos" w:hAnsi="Aptos"/>
          <w:b w:val="0"/>
          <w:i w:val="0"/>
          <w:color w:val="10221C"/>
          <w:sz w:val="22"/>
        </w:rPr>
        <w:t>KingaWeb will become the trusted, accessible external security companion for African small and growing organizations: a platform that continuously maps what the internet can see, translates technical exposure into business impact, and guides owners or their service partners from detection to verified resolution.</w:t>
      </w:r>
    </w:p>
    <w:p>
      <w:pPr>
        <w:pStyle w:val="Heading2"/>
      </w:pPr>
      <w:r>
        <w:t>1.2 The problem</w:t>
      </w:r>
    </w:p>
    <w:p>
      <w:r>
        <w:rPr>
          <w:rFonts w:ascii="Aptos" w:hAnsi="Aptos"/>
          <w:b w:val="0"/>
          <w:i w:val="0"/>
          <w:color w:val="10221C"/>
          <w:sz w:val="22"/>
        </w:rPr>
        <w:t>Many organizations depend on websites, cloud services, email domains and third-party platforms without maintaining an accurate view of their public attack surface. Existing enterprise tools are often expensive, technically dense or designed for mature security teams. A simple scanner alone is not enough: it produces a moment-in-time list, while risk changes whenever certificates, DNS, code, hosting or suppliers change.</w:t>
      </w:r>
    </w:p>
    <w:p>
      <w:pPr>
        <w:pStyle w:val="Heading2"/>
      </w:pPr>
      <w:r>
        <w:t>1.3 Product thesis</w:t>
      </w:r>
    </w:p>
    <w:p>
      <w:pPr>
        <w:pStyle w:val="ListBullet"/>
      </w:pPr>
      <w:r>
        <w:rPr>
          <w:rFonts w:ascii="Aptos" w:hAnsi="Aptos"/>
          <w:b w:val="0"/>
          <w:i w:val="0"/>
          <w:color w:val="10221C"/>
          <w:sz w:val="22"/>
        </w:rPr>
        <w:t>Continuous visibility is more valuable than a one-time grade.</w:t>
      </w:r>
    </w:p>
    <w:p>
      <w:pPr>
        <w:pStyle w:val="ListBullet"/>
      </w:pPr>
      <w:r>
        <w:rPr>
          <w:rFonts w:ascii="Aptos" w:hAnsi="Aptos"/>
          <w:b w:val="0"/>
          <w:i w:val="0"/>
          <w:color w:val="10221C"/>
          <w:sz w:val="22"/>
        </w:rPr>
        <w:t>Owners act faster when a finding explains business impact, ownership, priority and a tested fix.</w:t>
      </w:r>
    </w:p>
    <w:p>
      <w:pPr>
        <w:pStyle w:val="ListBullet"/>
      </w:pPr>
      <w:r>
        <w:rPr>
          <w:rFonts w:ascii="Aptos" w:hAnsi="Aptos"/>
          <w:b w:val="0"/>
          <w:i w:val="0"/>
          <w:color w:val="10221C"/>
          <w:sz w:val="22"/>
        </w:rPr>
        <w:t>Local delivery channels—especially mobile and WhatsApp-ready communication—can turn security data into action.</w:t>
      </w:r>
    </w:p>
    <w:p>
      <w:pPr>
        <w:pStyle w:val="ListBullet"/>
      </w:pPr>
      <w:r>
        <w:rPr>
          <w:rFonts w:ascii="Aptos" w:hAnsi="Aptos"/>
          <w:b w:val="0"/>
          <w:i w:val="0"/>
          <w:color w:val="10221C"/>
          <w:sz w:val="22"/>
        </w:rPr>
        <w:t>Agencies and managed-service partners are a scalable distribution channel because they already maintain client websites.</w:t>
      </w:r>
    </w:p>
    <w:p>
      <w:pPr>
        <w:pStyle w:val="ListBullet"/>
      </w:pPr>
      <w:r>
        <w:rPr>
          <w:rFonts w:ascii="Aptos" w:hAnsi="Aptos"/>
          <w:b w:val="0"/>
          <w:i w:val="0"/>
          <w:color w:val="10221C"/>
          <w:sz w:val="22"/>
        </w:rPr>
        <w:t>Regional relevance must come from workflow, language, affordability and support—not from unsupported claims that African threats are entirely different.</w:t>
      </w:r>
    </w:p>
    <w:p>
      <w:pPr>
        <w:pStyle w:val="Heading2"/>
      </w:pPr>
      <w:r>
        <w:t>1.4 Mission and boundaries</w:t>
      </w:r>
    </w:p>
    <w:p>
      <w:r>
        <w:rPr>
          <w:rFonts w:ascii="Aptos" w:hAnsi="Aptos"/>
          <w:b w:val="0"/>
          <w:i w:val="0"/>
          <w:color w:val="10221C"/>
          <w:sz w:val="22"/>
        </w:rPr>
        <w:t>Mission: make responsible, continuous external security monitoring understandable and actionable for organizations that do not have a security operations centre.</w:t>
      </w:r>
    </w:p>
    <w:p>
      <w:r>
        <w:rPr>
          <w:rFonts w:ascii="Aptos" w:hAnsi="Aptos"/>
          <w:b w:val="0"/>
          <w:i w:val="0"/>
          <w:color w:val="10221C"/>
          <w:sz w:val="22"/>
        </w:rPr>
        <w:t>Boundary: KingaWeb is a defensive monitoring and remediation platform. It is not an anonymous attack tool, an unrestricted penetration-testing service, a guarantee that a system is secure, or a replacement for a professional assessment where risk is high.</w:t>
      </w:r>
    </w:p>
    <w:p>
      <w:pPr>
        <w:pStyle w:val="Heading2"/>
      </w:pPr>
      <w:r>
        <w:t>1.5 North-star outcome</w:t>
      </w:r>
    </w:p>
    <w:p>
      <w:pPr>
        <w:pStyle w:val="Callout"/>
        <w:shd w:fill="EAF3E7"/>
        <w:spacing w:before="170" w:after="170"/>
      </w:pPr>
      <w:r>
        <w:rPr>
          <w:rFonts w:ascii="Aptos" w:hAnsi="Aptos"/>
          <w:b/>
          <w:i w:val="0"/>
          <w:color w:val="12392F"/>
          <w:sz w:val="19"/>
        </w:rPr>
        <w:t xml:space="preserve">NORTH-STAR METRIC  </w:t>
      </w:r>
      <w:r>
        <w:rPr>
          <w:rFonts w:ascii="Aptos" w:hAnsi="Aptos"/>
          <w:b w:val="0"/>
          <w:i w:val="0"/>
          <w:color w:val="10221C"/>
          <w:sz w:val="21"/>
        </w:rPr>
        <w:t>Verified risk-reduction events per protected organization per month: a previously confirmed issue is fixed, automatically rechecked and closed with evidence.</w:t>
      </w:r>
    </w:p>
    <w:p>
      <w:pPr>
        <w:pStyle w:val="Heading1"/>
      </w:pPr>
      <w:r>
        <w:t>2. Market position and differentiation</w:t>
      </w:r>
    </w:p>
    <w:p>
      <w:r>
        <w:rPr>
          <w:rFonts w:ascii="Aptos" w:hAnsi="Aptos"/>
          <w:b w:val="0"/>
          <w:i w:val="0"/>
          <w:color w:val="10221C"/>
          <w:sz w:val="22"/>
        </w:rPr>
        <w:t>Public research shows relevant African cybersecurity consultancies and products already exist, including offerings for vulnerability assessment, website monitoring and SME subscriptions. KingaWeb must therefore earn distinction through execution and product depth; “first in Africa” will not be used without independently verifiable evidence.</w:t>
      </w:r>
    </w:p>
    <w:p>
      <w:pPr>
        <w:pStyle w:val="Heading2"/>
      </w:pPr>
      <w:r>
        <w:t>2.1 Positioning statement</w:t>
      </w:r>
    </w:p>
    <w:p>
      <w:pPr>
        <w:pStyle w:val="Callout"/>
        <w:shd w:fill="EAF3E7"/>
        <w:spacing w:before="170" w:after="170"/>
      </w:pPr>
      <w:r>
        <w:rPr>
          <w:rFonts w:ascii="Aptos" w:hAnsi="Aptos"/>
          <w:b/>
          <w:i w:val="0"/>
          <w:color w:val="12392F"/>
          <w:sz w:val="19"/>
        </w:rPr>
        <w:t xml:space="preserve">POSITION  </w:t>
      </w:r>
      <w:r>
        <w:rPr>
          <w:rFonts w:ascii="Aptos" w:hAnsi="Aptos"/>
          <w:b w:val="0"/>
          <w:i w:val="0"/>
          <w:color w:val="10221C"/>
          <w:sz w:val="21"/>
        </w:rPr>
        <w:t>For African SMEs and the agencies that support them, KingaWeb is a mobile-first external security management platform that turns continuous technical signals into prioritized, bilingual remediation workflows and proof of improvement.</w:t>
      </w:r>
    </w:p>
    <w:p>
      <w:pPr>
        <w:pStyle w:val="Heading2"/>
      </w:pPr>
      <w:r>
        <w:t>2.2 Differentiation pillars</w:t>
      </w:r>
    </w:p>
    <w:tbl>
      <w:tblPr>
        <w:tblW w:type="auto" w:w="0"/>
        <w:jc w:val="left"/>
        <w:tblLayout w:type="fixed"/>
        <w:tblLook w:firstColumn="1" w:firstRow="1" w:lastColumn="0" w:lastRow="0" w:noHBand="0" w:noVBand="1" w:val="04A0"/>
        <w:tblW w:w="9360" w:type="dxa"/>
        <w:tblInd w:w="120" w:type="dxa"/>
      </w:tblPr>
      <w:tblGrid>
        <w:gridCol w:w="1656"/>
        <w:gridCol w:w="4680"/>
        <w:gridCol w:w="3024"/>
      </w:tblGrid>
      <w:tr>
        <w:trPr>
          <w:tblHeader w:val="true"/>
        </w:trPr>
        <w:tc>
          <w:tcPr>
            <w:tcW w:type="dxa" w:w="1656"/>
            <w:vAlign w:val="center"/>
            <w:tcW w:w="1656" w:type="dxa"/>
            <w:tcMar>
              <w:top w:w="80" w:type="dxa"/>
              <w:start w:w="120" w:type="dxa"/>
              <w:bottom w:w="80" w:type="dxa"/>
              <w:end w:w="120" w:type="dxa"/>
            </w:tcMar>
            <w:shd w:fill="12392F"/>
          </w:tcPr>
          <w:p>
            <w:pPr>
              <w:spacing w:after="0" w:line="252" w:lineRule="auto"/>
            </w:pPr>
            <w:r>
              <w:rPr>
                <w:rFonts w:ascii="Aptos" w:hAnsi="Aptos"/>
                <w:b/>
                <w:i w:val="0"/>
                <w:color w:val="FFFFFF"/>
                <w:sz w:val="17"/>
              </w:rPr>
              <w:t>Pillar</w:t>
            </w:r>
          </w:p>
        </w:tc>
        <w:tc>
          <w:tcPr>
            <w:tcW w:type="dxa" w:w="4680"/>
            <w:vAlign w:val="center"/>
            <w:tcW w:w="4680" w:type="dxa"/>
            <w:tcMar>
              <w:top w:w="80" w:type="dxa"/>
              <w:start w:w="120" w:type="dxa"/>
              <w:bottom w:w="80" w:type="dxa"/>
              <w:end w:w="120" w:type="dxa"/>
            </w:tcMar>
            <w:shd w:fill="12392F"/>
          </w:tcPr>
          <w:p>
            <w:pPr>
              <w:spacing w:after="0" w:line="252" w:lineRule="auto"/>
            </w:pPr>
            <w:r>
              <w:rPr>
                <w:rFonts w:ascii="Aptos" w:hAnsi="Aptos"/>
                <w:b/>
                <w:i w:val="0"/>
                <w:color w:val="FFFFFF"/>
                <w:sz w:val="17"/>
              </w:rPr>
              <w:t>What KingaWeb does differently</w:t>
            </w:r>
          </w:p>
        </w:tc>
        <w:tc>
          <w:tcPr>
            <w:tcW w:type="dxa" w:w="3024"/>
            <w:vAlign w:val="center"/>
            <w:tcW w:w="3024" w:type="dxa"/>
            <w:tcMar>
              <w:top w:w="80" w:type="dxa"/>
              <w:start w:w="120" w:type="dxa"/>
              <w:bottom w:w="80" w:type="dxa"/>
              <w:end w:w="120" w:type="dxa"/>
            </w:tcMar>
            <w:shd w:fill="12392F"/>
          </w:tcPr>
          <w:p>
            <w:pPr>
              <w:spacing w:after="0" w:line="252" w:lineRule="auto"/>
            </w:pPr>
            <w:r>
              <w:rPr>
                <w:rFonts w:ascii="Aptos" w:hAnsi="Aptos"/>
                <w:b/>
                <w:i w:val="0"/>
                <w:color w:val="FFFFFF"/>
                <w:sz w:val="17"/>
              </w:rPr>
              <w:t>Evidence of success</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Action, not alarm</w:t>
            </w:r>
          </w:p>
        </w:tc>
        <w:tc>
          <w:tcPr>
            <w:tcW w:type="dxa" w:w="4680"/>
            <w:vAlign w:val="center"/>
            <w:tcW w:w="4680" w:type="dxa"/>
            <w:tcMar>
              <w:top w:w="80" w:type="dxa"/>
              <w:start w:w="120" w:type="dxa"/>
              <w:bottom w:w="80" w:type="dxa"/>
              <w:end w:w="120" w:type="dxa"/>
            </w:tcMar>
            <w:shd w:fill="FFFFFF"/>
          </w:tcPr>
          <w:p>
            <w:pPr>
              <w:spacing w:after="0" w:line="252" w:lineRule="auto"/>
            </w:pPr>
            <w:r>
              <w:rPr>
                <w:rFonts w:ascii="Aptos" w:hAnsi="Aptos"/>
                <w:b w:val="0"/>
                <w:i w:val="0"/>
                <w:color w:val="10221C"/>
                <w:sz w:val="17"/>
              </w:rPr>
              <w:t>Each finding has owner, fix steps, due date, verification and evidence.</w:t>
            </w:r>
          </w:p>
        </w:tc>
        <w:tc>
          <w:tcPr>
            <w:tcW w:type="dxa" w:w="3024"/>
            <w:vAlign w:val="center"/>
            <w:tcW w:w="3024" w:type="dxa"/>
            <w:tcMar>
              <w:top w:w="80" w:type="dxa"/>
              <w:start w:w="120" w:type="dxa"/>
              <w:bottom w:w="80" w:type="dxa"/>
              <w:end w:w="120" w:type="dxa"/>
            </w:tcMar>
            <w:shd w:fill="FFFFFF"/>
          </w:tcPr>
          <w:p>
            <w:pPr>
              <w:spacing w:after="0" w:line="252" w:lineRule="auto"/>
            </w:pPr>
            <w:r>
              <w:rPr>
                <w:rFonts w:ascii="Aptos" w:hAnsi="Aptos"/>
                <w:b w:val="0"/>
                <w:i w:val="0"/>
                <w:color w:val="10221C"/>
                <w:sz w:val="17"/>
              </w:rPr>
              <w:t>Higher verified closure rate; lower time-to-remediate.</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African operating fit</w:t>
            </w:r>
          </w:p>
        </w:tc>
        <w:tc>
          <w:tcPr>
            <w:tcW w:type="dxa" w:w="4680"/>
            <w:vAlign w:val="center"/>
            <w:tcW w:w="4680" w:type="dxa"/>
            <w:tcMar>
              <w:top w:w="80" w:type="dxa"/>
              <w:start w:w="120" w:type="dxa"/>
              <w:bottom w:w="80" w:type="dxa"/>
              <w:end w:w="120" w:type="dxa"/>
            </w:tcMar>
            <w:shd w:fill="F3F5F1"/>
          </w:tcPr>
          <w:p>
            <w:pPr>
              <w:spacing w:after="0" w:line="252" w:lineRule="auto"/>
            </w:pPr>
            <w:r>
              <w:rPr>
                <w:rFonts w:ascii="Aptos" w:hAnsi="Aptos"/>
                <w:b w:val="0"/>
                <w:i w:val="0"/>
                <w:color w:val="10221C"/>
                <w:sz w:val="17"/>
              </w:rPr>
              <w:t>Low-bandwidth UI, TZS/local pricing, Swahili/English, mobile-first alerts.</w:t>
            </w:r>
          </w:p>
        </w:tc>
        <w:tc>
          <w:tcPr>
            <w:tcW w:type="dxa" w:w="3024"/>
            <w:vAlign w:val="center"/>
            <w:tcW w:w="3024" w:type="dxa"/>
            <w:tcMar>
              <w:top w:w="80" w:type="dxa"/>
              <w:start w:w="120" w:type="dxa"/>
              <w:bottom w:w="80" w:type="dxa"/>
              <w:end w:w="120" w:type="dxa"/>
            </w:tcMar>
            <w:shd w:fill="F3F5F1"/>
          </w:tcPr>
          <w:p>
            <w:pPr>
              <w:spacing w:after="0" w:line="252" w:lineRule="auto"/>
            </w:pPr>
            <w:r>
              <w:rPr>
                <w:rFonts w:ascii="Aptos" w:hAnsi="Aptos"/>
                <w:b w:val="0"/>
                <w:i w:val="0"/>
                <w:color w:val="10221C"/>
                <w:sz w:val="17"/>
              </w:rPr>
              <w:t>Strong mobile completion and regional activation.</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Agency operating system</w:t>
            </w:r>
          </w:p>
        </w:tc>
        <w:tc>
          <w:tcPr>
            <w:tcW w:type="dxa" w:w="4680"/>
            <w:vAlign w:val="center"/>
            <w:tcW w:w="4680" w:type="dxa"/>
            <w:tcMar>
              <w:top w:w="80" w:type="dxa"/>
              <w:start w:w="120" w:type="dxa"/>
              <w:bottom w:w="80" w:type="dxa"/>
              <w:end w:w="120" w:type="dxa"/>
            </w:tcMar>
            <w:shd w:fill="FFFFFF"/>
          </w:tcPr>
          <w:p>
            <w:pPr>
              <w:spacing w:after="0" w:line="252" w:lineRule="auto"/>
            </w:pPr>
            <w:r>
              <w:rPr>
                <w:rFonts w:ascii="Aptos" w:hAnsi="Aptos"/>
                <w:b w:val="0"/>
                <w:i w:val="0"/>
                <w:color w:val="10221C"/>
                <w:sz w:val="17"/>
              </w:rPr>
              <w:t>Multi-client workspaces, branded reports, delegated access and portfolio risk view.</w:t>
            </w:r>
          </w:p>
        </w:tc>
        <w:tc>
          <w:tcPr>
            <w:tcW w:type="dxa" w:w="3024"/>
            <w:vAlign w:val="center"/>
            <w:tcW w:w="3024" w:type="dxa"/>
            <w:tcMar>
              <w:top w:w="80" w:type="dxa"/>
              <w:start w:w="120" w:type="dxa"/>
              <w:bottom w:w="80" w:type="dxa"/>
              <w:end w:w="120" w:type="dxa"/>
            </w:tcMar>
            <w:shd w:fill="FFFFFF"/>
          </w:tcPr>
          <w:p>
            <w:pPr>
              <w:spacing w:after="0" w:line="252" w:lineRule="auto"/>
            </w:pPr>
            <w:r>
              <w:rPr>
                <w:rFonts w:ascii="Aptos" w:hAnsi="Aptos"/>
                <w:b w:val="0"/>
                <w:i w:val="0"/>
                <w:color w:val="10221C"/>
                <w:sz w:val="17"/>
              </w:rPr>
              <w:t>Agencies adopt and retain multiple clients.</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Trust through clarity</w:t>
            </w:r>
          </w:p>
        </w:tc>
        <w:tc>
          <w:tcPr>
            <w:tcW w:type="dxa" w:w="4680"/>
            <w:vAlign w:val="center"/>
            <w:tcW w:w="4680" w:type="dxa"/>
            <w:tcMar>
              <w:top w:w="80" w:type="dxa"/>
              <w:start w:w="120" w:type="dxa"/>
              <w:bottom w:w="80" w:type="dxa"/>
              <w:end w:w="120" w:type="dxa"/>
            </w:tcMar>
            <w:shd w:fill="F3F5F1"/>
          </w:tcPr>
          <w:p>
            <w:pPr>
              <w:spacing w:after="0" w:line="252" w:lineRule="auto"/>
            </w:pPr>
            <w:r>
              <w:rPr>
                <w:rFonts w:ascii="Aptos" w:hAnsi="Aptos"/>
                <w:b w:val="0"/>
                <w:i w:val="0"/>
                <w:color w:val="10221C"/>
                <w:sz w:val="17"/>
              </w:rPr>
              <w:t>Explainable scoring, evidence timestamps, confidence levels and scan limitations.</w:t>
            </w:r>
          </w:p>
        </w:tc>
        <w:tc>
          <w:tcPr>
            <w:tcW w:type="dxa" w:w="3024"/>
            <w:vAlign w:val="center"/>
            <w:tcW w:w="3024" w:type="dxa"/>
            <w:tcMar>
              <w:top w:w="80" w:type="dxa"/>
              <w:start w:w="120" w:type="dxa"/>
              <w:bottom w:w="80" w:type="dxa"/>
              <w:end w:w="120" w:type="dxa"/>
            </w:tcMar>
            <w:shd w:fill="F3F5F1"/>
          </w:tcPr>
          <w:p>
            <w:pPr>
              <w:spacing w:after="0" w:line="252" w:lineRule="auto"/>
            </w:pPr>
            <w:r>
              <w:rPr>
                <w:rFonts w:ascii="Aptos" w:hAnsi="Aptos"/>
                <w:b w:val="0"/>
                <w:i w:val="0"/>
                <w:color w:val="10221C"/>
                <w:sz w:val="17"/>
              </w:rPr>
              <w:t>Low dispute/false-positive rate.</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Responsible by design</w:t>
            </w:r>
          </w:p>
        </w:tc>
        <w:tc>
          <w:tcPr>
            <w:tcW w:type="dxa" w:w="4680"/>
            <w:vAlign w:val="center"/>
            <w:tcW w:w="4680" w:type="dxa"/>
            <w:tcMar>
              <w:top w:w="80" w:type="dxa"/>
              <w:start w:w="120" w:type="dxa"/>
              <w:bottom w:w="80" w:type="dxa"/>
              <w:end w:w="120" w:type="dxa"/>
            </w:tcMar>
            <w:shd w:fill="FFFFFF"/>
          </w:tcPr>
          <w:p>
            <w:pPr>
              <w:spacing w:after="0" w:line="252" w:lineRule="auto"/>
            </w:pPr>
            <w:r>
              <w:rPr>
                <w:rFonts w:ascii="Aptos" w:hAnsi="Aptos"/>
                <w:b w:val="0"/>
                <w:i w:val="0"/>
                <w:color w:val="10221C"/>
                <w:sz w:val="17"/>
              </w:rPr>
              <w:t>Ownership verification, safe scan profiles, audit logs and abuse controls.</w:t>
            </w:r>
          </w:p>
        </w:tc>
        <w:tc>
          <w:tcPr>
            <w:tcW w:type="dxa" w:w="3024"/>
            <w:vAlign w:val="center"/>
            <w:tcW w:w="3024" w:type="dxa"/>
            <w:tcMar>
              <w:top w:w="80" w:type="dxa"/>
              <w:start w:w="120" w:type="dxa"/>
              <w:bottom w:w="80" w:type="dxa"/>
              <w:end w:w="120" w:type="dxa"/>
            </w:tcMar>
            <w:shd w:fill="FFFFFF"/>
          </w:tcPr>
          <w:p>
            <w:pPr>
              <w:spacing w:after="0" w:line="252" w:lineRule="auto"/>
            </w:pPr>
            <w:r>
              <w:rPr>
                <w:rFonts w:ascii="Aptos" w:hAnsi="Aptos"/>
                <w:b w:val="0"/>
                <w:i w:val="0"/>
                <w:color w:val="10221C"/>
                <w:sz w:val="17"/>
              </w:rPr>
              <w:t>No unauthorized-scan incidents; passed reviews.</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From web to perimeter</w:t>
            </w:r>
          </w:p>
        </w:tc>
        <w:tc>
          <w:tcPr>
            <w:tcW w:type="dxa" w:w="4680"/>
            <w:vAlign w:val="center"/>
            <w:tcW w:w="4680" w:type="dxa"/>
            <w:tcMar>
              <w:top w:w="80" w:type="dxa"/>
              <w:start w:w="120" w:type="dxa"/>
              <w:bottom w:w="80" w:type="dxa"/>
              <w:end w:w="120" w:type="dxa"/>
            </w:tcMar>
            <w:shd w:fill="F3F5F1"/>
          </w:tcPr>
          <w:p>
            <w:pPr>
              <w:spacing w:after="0" w:line="252" w:lineRule="auto"/>
            </w:pPr>
            <w:r>
              <w:rPr>
                <w:rFonts w:ascii="Aptos" w:hAnsi="Aptos"/>
                <w:b w:val="0"/>
                <w:i w:val="0"/>
                <w:color w:val="10221C"/>
                <w:sz w:val="17"/>
              </w:rPr>
              <w:t>Domains, DNS, TLS, email posture, exposed assets, impersonation and change monitoring.</w:t>
            </w:r>
          </w:p>
        </w:tc>
        <w:tc>
          <w:tcPr>
            <w:tcW w:type="dxa" w:w="3024"/>
            <w:vAlign w:val="center"/>
            <w:tcW w:w="3024" w:type="dxa"/>
            <w:tcMar>
              <w:top w:w="80" w:type="dxa"/>
              <w:start w:w="120" w:type="dxa"/>
              <w:bottom w:w="80" w:type="dxa"/>
              <w:end w:w="120" w:type="dxa"/>
            </w:tcMar>
            <w:shd w:fill="F3F5F1"/>
          </w:tcPr>
          <w:p>
            <w:pPr>
              <w:spacing w:after="0" w:line="252" w:lineRule="auto"/>
            </w:pPr>
            <w:r>
              <w:rPr>
                <w:rFonts w:ascii="Aptos" w:hAnsi="Aptos"/>
                <w:b w:val="0"/>
                <w:i w:val="0"/>
                <w:color w:val="10221C"/>
                <w:sz w:val="17"/>
              </w:rPr>
              <w:t>Growing assets protected per customer.</w:t>
            </w:r>
          </w:p>
        </w:tc>
      </w:tr>
    </w:tbl>
    <w:p>
      <w:pPr>
        <w:spacing w:after="40"/>
      </w:pPr>
    </w:p>
    <w:p>
      <w:pPr>
        <w:pStyle w:val="Heading2"/>
      </w:pPr>
      <w:r>
        <w:t>2.3 Initial wedge and expansion</w:t>
      </w:r>
    </w:p>
    <w:p>
      <w:r>
        <w:rPr>
          <w:rFonts w:ascii="Aptos" w:hAnsi="Aptos"/>
          <w:b w:val="0"/>
          <w:i w:val="0"/>
          <w:color w:val="10221C"/>
          <w:sz w:val="22"/>
        </w:rPr>
        <w:t>The entry product is website, TLS, DNS and email-domain posture monitoring. The expansion is a governed external attack-surface platform covering subdomains, approved services, public cloud exposures, third-party assets, impersonation signals and agency-managed remediation.</w:t>
      </w:r>
    </w:p>
    <w:p>
      <w:pPr>
        <w:pStyle w:val="Heading1"/>
      </w:pPr>
      <w:r>
        <w:t>3. Users and jobs to be done</w:t>
      </w:r>
    </w:p>
    <w:tbl>
      <w:tblPr>
        <w:tblW w:type="auto" w:w="0"/>
        <w:jc w:val="left"/>
        <w:tblLayout w:type="fixed"/>
        <w:tblLook w:firstColumn="1" w:firstRow="1" w:lastColumn="0" w:lastRow="0" w:noHBand="0" w:noVBand="1" w:val="04A0"/>
        <w:tblW w:w="9360" w:type="dxa"/>
        <w:tblInd w:w="120" w:type="dxa"/>
      </w:tblPr>
      <w:tblGrid>
        <w:gridCol w:w="1656"/>
        <w:gridCol w:w="3240"/>
        <w:gridCol w:w="2232"/>
        <w:gridCol w:w="2232"/>
      </w:tblGrid>
      <w:tr>
        <w:trPr>
          <w:tblHeader w:val="true"/>
        </w:trPr>
        <w:tc>
          <w:tcPr>
            <w:tcW w:type="dxa" w:w="1656"/>
            <w:vAlign w:val="center"/>
            <w:tcW w:w="1656" w:type="dxa"/>
            <w:tcMar>
              <w:top w:w="80" w:type="dxa"/>
              <w:start w:w="120" w:type="dxa"/>
              <w:bottom w:w="80" w:type="dxa"/>
              <w:end w:w="120" w:type="dxa"/>
            </w:tcMar>
            <w:shd w:fill="12392F"/>
          </w:tcPr>
          <w:p>
            <w:pPr>
              <w:spacing w:after="0" w:line="252" w:lineRule="auto"/>
            </w:pPr>
            <w:r>
              <w:rPr>
                <w:rFonts w:ascii="Aptos" w:hAnsi="Aptos"/>
                <w:b/>
                <w:i w:val="0"/>
                <w:color w:val="FFFFFF"/>
                <w:sz w:val="17"/>
              </w:rPr>
              <w:t>Persona</w:t>
            </w:r>
          </w:p>
        </w:tc>
        <w:tc>
          <w:tcPr>
            <w:tcW w:type="dxa" w:w="3240"/>
            <w:vAlign w:val="center"/>
            <w:tcW w:w="3240" w:type="dxa"/>
            <w:tcMar>
              <w:top w:w="80" w:type="dxa"/>
              <w:start w:w="120" w:type="dxa"/>
              <w:bottom w:w="80" w:type="dxa"/>
              <w:end w:w="120" w:type="dxa"/>
            </w:tcMar>
            <w:shd w:fill="12392F"/>
          </w:tcPr>
          <w:p>
            <w:pPr>
              <w:spacing w:after="0" w:line="252" w:lineRule="auto"/>
            </w:pPr>
            <w:r>
              <w:rPr>
                <w:rFonts w:ascii="Aptos" w:hAnsi="Aptos"/>
                <w:b/>
                <w:i w:val="0"/>
                <w:color w:val="FFFFFF"/>
                <w:sz w:val="17"/>
              </w:rPr>
              <w:t>Primary job</w:t>
            </w:r>
          </w:p>
        </w:tc>
        <w:tc>
          <w:tcPr>
            <w:tcW w:type="dxa" w:w="2232"/>
            <w:vAlign w:val="center"/>
            <w:tcW w:w="2232" w:type="dxa"/>
            <w:tcMar>
              <w:top w:w="80" w:type="dxa"/>
              <w:start w:w="120" w:type="dxa"/>
              <w:bottom w:w="80" w:type="dxa"/>
              <w:end w:w="120" w:type="dxa"/>
            </w:tcMar>
            <w:shd w:fill="12392F"/>
          </w:tcPr>
          <w:p>
            <w:pPr>
              <w:spacing w:after="0" w:line="252" w:lineRule="auto"/>
            </w:pPr>
            <w:r>
              <w:rPr>
                <w:rFonts w:ascii="Aptos" w:hAnsi="Aptos"/>
                <w:b/>
                <w:i w:val="0"/>
                <w:color w:val="FFFFFF"/>
                <w:sz w:val="17"/>
              </w:rPr>
              <w:t>Key anxiety</w:t>
            </w:r>
          </w:p>
        </w:tc>
        <w:tc>
          <w:tcPr>
            <w:tcW w:type="dxa" w:w="2232"/>
            <w:vAlign w:val="center"/>
            <w:tcW w:w="2232" w:type="dxa"/>
            <w:tcMar>
              <w:top w:w="80" w:type="dxa"/>
              <w:start w:w="120" w:type="dxa"/>
              <w:bottom w:w="80" w:type="dxa"/>
              <w:end w:w="120" w:type="dxa"/>
            </w:tcMar>
            <w:shd w:fill="12392F"/>
          </w:tcPr>
          <w:p>
            <w:pPr>
              <w:spacing w:after="0" w:line="252" w:lineRule="auto"/>
            </w:pPr>
            <w:r>
              <w:rPr>
                <w:rFonts w:ascii="Aptos" w:hAnsi="Aptos"/>
                <w:b/>
                <w:i w:val="0"/>
                <w:color w:val="FFFFFF"/>
                <w:sz w:val="17"/>
              </w:rPr>
              <w:t>Success</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Business owner</w:t>
            </w:r>
          </w:p>
        </w:tc>
        <w:tc>
          <w:tcPr>
            <w:tcW w:type="dxa" w:w="3240"/>
            <w:vAlign w:val="center"/>
            <w:tcW w:w="3240" w:type="dxa"/>
            <w:tcMar>
              <w:top w:w="80" w:type="dxa"/>
              <w:start w:w="120" w:type="dxa"/>
              <w:bottom w:w="80" w:type="dxa"/>
              <w:end w:w="120" w:type="dxa"/>
            </w:tcMar>
            <w:shd w:fill="FFFFFF"/>
          </w:tcPr>
          <w:p>
            <w:pPr>
              <w:spacing w:after="0" w:line="252" w:lineRule="auto"/>
            </w:pPr>
            <w:r>
              <w:rPr>
                <w:rFonts w:ascii="Aptos" w:hAnsi="Aptos"/>
                <w:b w:val="0"/>
                <w:i w:val="0"/>
                <w:color w:val="10221C"/>
                <w:sz w:val="17"/>
              </w:rPr>
              <w:t>Know whether the digital business is exposed and what to do next.</w:t>
            </w:r>
          </w:p>
        </w:tc>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Technical reports are confusing or unaffordable.</w:t>
            </w:r>
          </w:p>
        </w:tc>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Clear priorities and proof that fixes worked.</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Web agency</w:t>
            </w:r>
          </w:p>
        </w:tc>
        <w:tc>
          <w:tcPr>
            <w:tcW w:type="dxa" w:w="3240"/>
            <w:vAlign w:val="center"/>
            <w:tcW w:w="3240" w:type="dxa"/>
            <w:tcMar>
              <w:top w:w="80" w:type="dxa"/>
              <w:start w:w="120" w:type="dxa"/>
              <w:bottom w:w="80" w:type="dxa"/>
              <w:end w:w="120" w:type="dxa"/>
            </w:tcMar>
            <w:shd w:fill="F3F5F1"/>
          </w:tcPr>
          <w:p>
            <w:pPr>
              <w:spacing w:after="0" w:line="252" w:lineRule="auto"/>
            </w:pPr>
            <w:r>
              <w:rPr>
                <w:rFonts w:ascii="Aptos" w:hAnsi="Aptos"/>
                <w:b w:val="0"/>
                <w:i w:val="0"/>
                <w:color w:val="10221C"/>
                <w:sz w:val="17"/>
              </w:rPr>
              <w:t>Protect many client sites without repetitive manual checking.</w:t>
            </w:r>
          </w:p>
        </w:tc>
        <w:tc>
          <w:tcPr>
            <w:tcW w:type="dxa" w:w="2232"/>
            <w:vAlign w:val="center"/>
            <w:tcW w:w="2232" w:type="dxa"/>
            <w:tcMar>
              <w:top w:w="80" w:type="dxa"/>
              <w:start w:w="120" w:type="dxa"/>
              <w:bottom w:w="80" w:type="dxa"/>
              <w:end w:w="120" w:type="dxa"/>
            </w:tcMar>
            <w:shd w:fill="F3F5F1"/>
          </w:tcPr>
          <w:p>
            <w:pPr>
              <w:spacing w:after="0" w:line="252" w:lineRule="auto"/>
            </w:pPr>
            <w:r>
              <w:rPr>
                <w:rFonts w:ascii="Aptos" w:hAnsi="Aptos"/>
                <w:b w:val="0"/>
                <w:i w:val="0"/>
                <w:color w:val="10221C"/>
                <w:sz w:val="17"/>
              </w:rPr>
              <w:t>A client incident damages trust.</w:t>
            </w:r>
          </w:p>
        </w:tc>
        <w:tc>
          <w:tcPr>
            <w:tcW w:type="dxa" w:w="2232"/>
            <w:vAlign w:val="center"/>
            <w:tcW w:w="2232" w:type="dxa"/>
            <w:tcMar>
              <w:top w:w="80" w:type="dxa"/>
              <w:start w:w="120" w:type="dxa"/>
              <w:bottom w:w="80" w:type="dxa"/>
              <w:end w:w="120" w:type="dxa"/>
            </w:tcMar>
            <w:shd w:fill="F3F5F1"/>
          </w:tcPr>
          <w:p>
            <w:pPr>
              <w:spacing w:after="0" w:line="252" w:lineRule="auto"/>
            </w:pPr>
            <w:r>
              <w:rPr>
                <w:rFonts w:ascii="Aptos" w:hAnsi="Aptos"/>
                <w:b w:val="0"/>
                <w:i w:val="0"/>
                <w:color w:val="10221C"/>
                <w:sz w:val="17"/>
              </w:rPr>
              <w:t>Portfolio view, reports and fast remediation.</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Developer/IT lead</w:t>
            </w:r>
          </w:p>
        </w:tc>
        <w:tc>
          <w:tcPr>
            <w:tcW w:type="dxa" w:w="3240"/>
            <w:vAlign w:val="center"/>
            <w:tcW w:w="3240" w:type="dxa"/>
            <w:tcMar>
              <w:top w:w="80" w:type="dxa"/>
              <w:start w:w="120" w:type="dxa"/>
              <w:bottom w:w="80" w:type="dxa"/>
              <w:end w:w="120" w:type="dxa"/>
            </w:tcMar>
            <w:shd w:fill="FFFFFF"/>
          </w:tcPr>
          <w:p>
            <w:pPr>
              <w:spacing w:after="0" w:line="252" w:lineRule="auto"/>
            </w:pPr>
            <w:r>
              <w:rPr>
                <w:rFonts w:ascii="Aptos" w:hAnsi="Aptos"/>
                <w:b w:val="0"/>
                <w:i w:val="0"/>
                <w:color w:val="10221C"/>
                <w:sz w:val="17"/>
              </w:rPr>
              <w:t>Detect configuration drift before customers or attackers do.</w:t>
            </w:r>
          </w:p>
        </w:tc>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No time to watch every external signal.</w:t>
            </w:r>
          </w:p>
        </w:tc>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Useful alerts, APIs and evidence.</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Security consultant</w:t>
            </w:r>
          </w:p>
        </w:tc>
        <w:tc>
          <w:tcPr>
            <w:tcW w:type="dxa" w:w="3240"/>
            <w:vAlign w:val="center"/>
            <w:tcW w:w="3240" w:type="dxa"/>
            <w:tcMar>
              <w:top w:w="80" w:type="dxa"/>
              <w:start w:w="120" w:type="dxa"/>
              <w:bottom w:w="80" w:type="dxa"/>
              <w:end w:w="120" w:type="dxa"/>
            </w:tcMar>
            <w:shd w:fill="F3F5F1"/>
          </w:tcPr>
          <w:p>
            <w:pPr>
              <w:spacing w:after="0" w:line="252" w:lineRule="auto"/>
            </w:pPr>
            <w:r>
              <w:rPr>
                <w:rFonts w:ascii="Aptos" w:hAnsi="Aptos"/>
                <w:b w:val="0"/>
                <w:i w:val="0"/>
                <w:color w:val="10221C"/>
                <w:sz w:val="17"/>
              </w:rPr>
              <w:t>Deliver repeatable assessments and track remediation.</w:t>
            </w:r>
          </w:p>
        </w:tc>
        <w:tc>
          <w:tcPr>
            <w:tcW w:type="dxa" w:w="2232"/>
            <w:vAlign w:val="center"/>
            <w:tcW w:w="2232" w:type="dxa"/>
            <w:tcMar>
              <w:top w:w="80" w:type="dxa"/>
              <w:start w:w="120" w:type="dxa"/>
              <w:bottom w:w="80" w:type="dxa"/>
              <w:end w:w="120" w:type="dxa"/>
            </w:tcMar>
            <w:shd w:fill="F3F5F1"/>
          </w:tcPr>
          <w:p>
            <w:pPr>
              <w:spacing w:after="0" w:line="252" w:lineRule="auto"/>
            </w:pPr>
            <w:r>
              <w:rPr>
                <w:rFonts w:ascii="Aptos" w:hAnsi="Aptos"/>
                <w:b w:val="0"/>
                <w:i w:val="0"/>
                <w:color w:val="10221C"/>
                <w:sz w:val="17"/>
              </w:rPr>
              <w:t>Tool noise and fragmented evidence.</w:t>
            </w:r>
          </w:p>
        </w:tc>
        <w:tc>
          <w:tcPr>
            <w:tcW w:type="dxa" w:w="2232"/>
            <w:vAlign w:val="center"/>
            <w:tcW w:w="2232" w:type="dxa"/>
            <w:tcMar>
              <w:top w:w="80" w:type="dxa"/>
              <w:start w:w="120" w:type="dxa"/>
              <w:bottom w:w="80" w:type="dxa"/>
              <w:end w:w="120" w:type="dxa"/>
            </w:tcMar>
            <w:shd w:fill="F3F5F1"/>
          </w:tcPr>
          <w:p>
            <w:pPr>
              <w:spacing w:after="0" w:line="252" w:lineRule="auto"/>
            </w:pPr>
            <w:r>
              <w:rPr>
                <w:rFonts w:ascii="Aptos" w:hAnsi="Aptos"/>
                <w:b w:val="0"/>
                <w:i w:val="0"/>
                <w:color w:val="10221C"/>
                <w:sz w:val="17"/>
              </w:rPr>
              <w:t>Controlled scanning and client-ready reporting.</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Organization executive</w:t>
            </w:r>
          </w:p>
        </w:tc>
        <w:tc>
          <w:tcPr>
            <w:tcW w:type="dxa" w:w="3240"/>
            <w:vAlign w:val="center"/>
            <w:tcW w:w="3240" w:type="dxa"/>
            <w:tcMar>
              <w:top w:w="80" w:type="dxa"/>
              <w:start w:w="120" w:type="dxa"/>
              <w:bottom w:w="80" w:type="dxa"/>
              <w:end w:w="120" w:type="dxa"/>
            </w:tcMar>
            <w:shd w:fill="FFFFFF"/>
          </w:tcPr>
          <w:p>
            <w:pPr>
              <w:spacing w:after="0" w:line="252" w:lineRule="auto"/>
            </w:pPr>
            <w:r>
              <w:rPr>
                <w:rFonts w:ascii="Aptos" w:hAnsi="Aptos"/>
                <w:b w:val="0"/>
                <w:i w:val="0"/>
                <w:color w:val="10221C"/>
                <w:sz w:val="17"/>
              </w:rPr>
              <w:t>Understand business exposure and trend without security jargon.</w:t>
            </w:r>
          </w:p>
        </w:tc>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Unknown risk and unclear accountability.</w:t>
            </w:r>
          </w:p>
        </w:tc>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Risk trend, ownership and audit trail.</w:t>
            </w:r>
          </w:p>
        </w:tc>
      </w:tr>
    </w:tbl>
    <w:p>
      <w:pPr>
        <w:spacing w:after="40"/>
      </w:pPr>
    </w:p>
    <w:p>
      <w:pPr>
        <w:pStyle w:val="Heading2"/>
      </w:pPr>
      <w:r>
        <w:t>3.1 Core journeys</w:t>
      </w:r>
    </w:p>
    <w:p>
      <w:pPr>
        <w:pStyle w:val="ListNumber"/>
      </w:pPr>
      <w:r>
        <w:rPr>
          <w:rFonts w:ascii="Aptos" w:hAnsi="Aptos"/>
          <w:b w:val="0"/>
          <w:i w:val="0"/>
          <w:color w:val="10221C"/>
          <w:sz w:val="22"/>
        </w:rPr>
        <w:t>Owner: create workspace → add domain → verify ownership → first scan → understand top three actions → assign or share → verify fix.</w:t>
      </w:r>
    </w:p>
    <w:p>
      <w:pPr>
        <w:pStyle w:val="ListNumber"/>
      </w:pPr>
      <w:r>
        <w:rPr>
          <w:rFonts w:ascii="Aptos" w:hAnsi="Aptos"/>
          <w:b w:val="0"/>
          <w:i w:val="0"/>
          <w:color w:val="10221C"/>
          <w:sz w:val="22"/>
        </w:rPr>
        <w:t>Agency: create portfolio → invite team → add clients → verify assets → review cross-client risk → generate branded report → track remediation.</w:t>
      </w:r>
    </w:p>
    <w:p>
      <w:pPr>
        <w:pStyle w:val="ListNumber"/>
      </w:pPr>
      <w:r>
        <w:rPr>
          <w:rFonts w:ascii="Aptos" w:hAnsi="Aptos"/>
          <w:b w:val="0"/>
          <w:i w:val="0"/>
          <w:color w:val="10221C"/>
          <w:sz w:val="22"/>
        </w:rPr>
        <w:t>Developer: receive alert → inspect evidence and request trace → apply configuration change → trigger safe rescan → close finding.</w:t>
      </w:r>
    </w:p>
    <w:p>
      <w:pPr>
        <w:pStyle w:val="ListNumber"/>
      </w:pPr>
      <w:r>
        <w:rPr>
          <w:rFonts w:ascii="Aptos" w:hAnsi="Aptos"/>
          <w:b w:val="0"/>
          <w:i w:val="0"/>
          <w:color w:val="10221C"/>
          <w:sz w:val="22"/>
        </w:rPr>
        <w:t>Executive: open monthly digest → view risk trend and critical open items → confirm responsible owner and due date.</w:t>
      </w:r>
    </w:p>
    <w:p>
      <w:pPr>
        <w:pStyle w:val="Heading1"/>
      </w:pPr>
      <w:r>
        <w:t>4. Product scope and capability map</w:t>
      </w:r>
    </w:p>
    <w:p>
      <w:pPr>
        <w:pStyle w:val="Heading2"/>
      </w:pPr>
      <w:r>
        <w:t>4.1 Capability domains</w:t>
      </w:r>
    </w:p>
    <w:tbl>
      <w:tblPr>
        <w:tblW w:type="auto" w:w="0"/>
        <w:jc w:val="left"/>
        <w:tblLayout w:type="fixed"/>
        <w:tblLook w:firstColumn="1" w:firstRow="1" w:lastColumn="0" w:lastRow="0" w:noHBand="0" w:noVBand="1" w:val="04A0"/>
        <w:tblW w:w="9360" w:type="dxa"/>
        <w:tblInd w:w="120" w:type="dxa"/>
      </w:tblPr>
      <w:tblGrid>
        <w:gridCol w:w="1728"/>
        <w:gridCol w:w="3672"/>
        <w:gridCol w:w="3960"/>
      </w:tblGrid>
      <w:tr>
        <w:trPr>
          <w:tblHeader w:val="true"/>
        </w:trPr>
        <w:tc>
          <w:tcPr>
            <w:tcW w:type="dxa" w:w="1728"/>
            <w:vAlign w:val="center"/>
            <w:tcW w:w="1728" w:type="dxa"/>
            <w:tcMar>
              <w:top w:w="80" w:type="dxa"/>
              <w:start w:w="120" w:type="dxa"/>
              <w:bottom w:w="80" w:type="dxa"/>
              <w:end w:w="120" w:type="dxa"/>
            </w:tcMar>
            <w:shd w:fill="12392F"/>
          </w:tcPr>
          <w:p>
            <w:pPr>
              <w:spacing w:after="0" w:line="252" w:lineRule="auto"/>
            </w:pPr>
            <w:r>
              <w:rPr>
                <w:rFonts w:ascii="Aptos" w:hAnsi="Aptos"/>
                <w:b/>
                <w:i w:val="0"/>
                <w:color w:val="FFFFFF"/>
                <w:sz w:val="17"/>
              </w:rPr>
              <w:t>Domain</w:t>
            </w:r>
          </w:p>
        </w:tc>
        <w:tc>
          <w:tcPr>
            <w:tcW w:type="dxa" w:w="3672"/>
            <w:vAlign w:val="center"/>
            <w:tcW w:w="3672" w:type="dxa"/>
            <w:tcMar>
              <w:top w:w="80" w:type="dxa"/>
              <w:start w:w="120" w:type="dxa"/>
              <w:bottom w:w="80" w:type="dxa"/>
              <w:end w:w="120" w:type="dxa"/>
            </w:tcMar>
            <w:shd w:fill="12392F"/>
          </w:tcPr>
          <w:p>
            <w:pPr>
              <w:spacing w:after="0" w:line="252" w:lineRule="auto"/>
            </w:pPr>
            <w:r>
              <w:rPr>
                <w:rFonts w:ascii="Aptos" w:hAnsi="Aptos"/>
                <w:b/>
                <w:i w:val="0"/>
                <w:color w:val="FFFFFF"/>
                <w:sz w:val="17"/>
              </w:rPr>
              <w:t>Release-one capability</w:t>
            </w:r>
          </w:p>
        </w:tc>
        <w:tc>
          <w:tcPr>
            <w:tcW w:type="dxa" w:w="3960"/>
            <w:vAlign w:val="center"/>
            <w:tcW w:w="3960" w:type="dxa"/>
            <w:tcMar>
              <w:top w:w="80" w:type="dxa"/>
              <w:start w:w="120" w:type="dxa"/>
              <w:bottom w:w="80" w:type="dxa"/>
              <w:end w:w="120" w:type="dxa"/>
            </w:tcMar>
            <w:shd w:fill="12392F"/>
          </w:tcPr>
          <w:p>
            <w:pPr>
              <w:spacing w:after="0" w:line="252" w:lineRule="auto"/>
            </w:pPr>
            <w:r>
              <w:rPr>
                <w:rFonts w:ascii="Aptos" w:hAnsi="Aptos"/>
                <w:b/>
                <w:i w:val="0"/>
                <w:color w:val="FFFFFF"/>
                <w:sz w:val="17"/>
              </w:rPr>
              <w:t>Later evolution</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Asset inventory</w:t>
            </w:r>
          </w:p>
        </w:tc>
        <w:tc>
          <w:tcPr>
            <w:tcW w:type="dxa" w:w="3672"/>
            <w:vAlign w:val="center"/>
            <w:tcW w:w="3672" w:type="dxa"/>
            <w:tcMar>
              <w:top w:w="80" w:type="dxa"/>
              <w:start w:w="120" w:type="dxa"/>
              <w:bottom w:w="80" w:type="dxa"/>
              <w:end w:w="120" w:type="dxa"/>
            </w:tcMar>
            <w:shd w:fill="FFFFFF"/>
          </w:tcPr>
          <w:p>
            <w:pPr>
              <w:spacing w:after="0" w:line="252" w:lineRule="auto"/>
            </w:pPr>
            <w:r>
              <w:rPr>
                <w:rFonts w:ascii="Aptos" w:hAnsi="Aptos"/>
                <w:b w:val="0"/>
                <w:i w:val="0"/>
                <w:color w:val="10221C"/>
                <w:sz w:val="17"/>
              </w:rPr>
              <w:t>Verified domains, websites and DNS snapshots.</w:t>
            </w:r>
          </w:p>
        </w:tc>
        <w:tc>
          <w:tcPr>
            <w:tcW w:type="dxa" w:w="3960"/>
            <w:vAlign w:val="center"/>
            <w:tcW w:w="3960" w:type="dxa"/>
            <w:tcMar>
              <w:top w:w="80" w:type="dxa"/>
              <w:start w:w="120" w:type="dxa"/>
              <w:bottom w:w="80" w:type="dxa"/>
              <w:end w:w="120" w:type="dxa"/>
            </w:tcMar>
            <w:shd w:fill="FFFFFF"/>
          </w:tcPr>
          <w:p>
            <w:pPr>
              <w:spacing w:after="0" w:line="252" w:lineRule="auto"/>
            </w:pPr>
            <w:r>
              <w:rPr>
                <w:rFonts w:ascii="Aptos" w:hAnsi="Aptos"/>
                <w:b w:val="0"/>
                <w:i w:val="0"/>
                <w:color w:val="10221C"/>
                <w:sz w:val="17"/>
              </w:rPr>
              <w:t>Subdomains, IP ranges, SaaS and cloud assets.</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Web posture</w:t>
            </w:r>
          </w:p>
        </w:tc>
        <w:tc>
          <w:tcPr>
            <w:tcW w:type="dxa" w:w="3672"/>
            <w:vAlign w:val="center"/>
            <w:tcW w:w="3672" w:type="dxa"/>
            <w:tcMar>
              <w:top w:w="80" w:type="dxa"/>
              <w:start w:w="120" w:type="dxa"/>
              <w:bottom w:w="80" w:type="dxa"/>
              <w:end w:w="120" w:type="dxa"/>
            </w:tcMar>
            <w:shd w:fill="F3F5F1"/>
          </w:tcPr>
          <w:p>
            <w:pPr>
              <w:spacing w:after="0" w:line="252" w:lineRule="auto"/>
            </w:pPr>
            <w:r>
              <w:rPr>
                <w:rFonts w:ascii="Aptos" w:hAnsi="Aptos"/>
                <w:b w:val="0"/>
                <w:i w:val="0"/>
                <w:color w:val="10221C"/>
                <w:sz w:val="17"/>
              </w:rPr>
              <w:t>HTTPS, TLS, headers, redirects, cookies and exposed metadata.</w:t>
            </w:r>
          </w:p>
        </w:tc>
        <w:tc>
          <w:tcPr>
            <w:tcW w:type="dxa" w:w="3960"/>
            <w:vAlign w:val="center"/>
            <w:tcW w:w="3960" w:type="dxa"/>
            <w:tcMar>
              <w:top w:w="80" w:type="dxa"/>
              <w:start w:w="120" w:type="dxa"/>
              <w:bottom w:w="80" w:type="dxa"/>
              <w:end w:w="120" w:type="dxa"/>
            </w:tcMar>
            <w:shd w:fill="F3F5F1"/>
          </w:tcPr>
          <w:p>
            <w:pPr>
              <w:spacing w:after="0" w:line="252" w:lineRule="auto"/>
            </w:pPr>
            <w:r>
              <w:rPr>
                <w:rFonts w:ascii="Aptos" w:hAnsi="Aptos"/>
                <w:b w:val="0"/>
                <w:i w:val="0"/>
                <w:color w:val="10221C"/>
                <w:sz w:val="17"/>
              </w:rPr>
              <w:t>Safe crawling, API posture and supply-chain signals.</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Email posture</w:t>
            </w:r>
          </w:p>
        </w:tc>
        <w:tc>
          <w:tcPr>
            <w:tcW w:type="dxa" w:w="3672"/>
            <w:vAlign w:val="center"/>
            <w:tcW w:w="3672" w:type="dxa"/>
            <w:tcMar>
              <w:top w:w="80" w:type="dxa"/>
              <w:start w:w="120" w:type="dxa"/>
              <w:bottom w:w="80" w:type="dxa"/>
              <w:end w:w="120" w:type="dxa"/>
            </w:tcMar>
            <w:shd w:fill="FFFFFF"/>
          </w:tcPr>
          <w:p>
            <w:pPr>
              <w:spacing w:after="0" w:line="252" w:lineRule="auto"/>
            </w:pPr>
            <w:r>
              <w:rPr>
                <w:rFonts w:ascii="Aptos" w:hAnsi="Aptos"/>
                <w:b w:val="0"/>
                <w:i w:val="0"/>
                <w:color w:val="10221C"/>
                <w:sz w:val="17"/>
              </w:rPr>
              <w:t>SPF, DKIM discovery, DMARC and MX health.</w:t>
            </w:r>
          </w:p>
        </w:tc>
        <w:tc>
          <w:tcPr>
            <w:tcW w:type="dxa" w:w="3960"/>
            <w:vAlign w:val="center"/>
            <w:tcW w:w="3960" w:type="dxa"/>
            <w:tcMar>
              <w:top w:w="80" w:type="dxa"/>
              <w:start w:w="120" w:type="dxa"/>
              <w:bottom w:w="80" w:type="dxa"/>
              <w:end w:w="120" w:type="dxa"/>
            </w:tcMar>
            <w:shd w:fill="FFFFFF"/>
          </w:tcPr>
          <w:p>
            <w:pPr>
              <w:spacing w:after="0" w:line="252" w:lineRule="auto"/>
            </w:pPr>
            <w:r>
              <w:rPr>
                <w:rFonts w:ascii="Aptos" w:hAnsi="Aptos"/>
                <w:b w:val="0"/>
                <w:i w:val="0"/>
                <w:color w:val="10221C"/>
                <w:sz w:val="17"/>
              </w:rPr>
              <w:t>BIMI, spoof simulations and domain abuse monitoring.</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Change detection</w:t>
            </w:r>
          </w:p>
        </w:tc>
        <w:tc>
          <w:tcPr>
            <w:tcW w:type="dxa" w:w="3672"/>
            <w:vAlign w:val="center"/>
            <w:tcW w:w="3672" w:type="dxa"/>
            <w:tcMar>
              <w:top w:w="80" w:type="dxa"/>
              <w:start w:w="120" w:type="dxa"/>
              <w:bottom w:w="80" w:type="dxa"/>
              <w:end w:w="120" w:type="dxa"/>
            </w:tcMar>
            <w:shd w:fill="F3F5F1"/>
          </w:tcPr>
          <w:p>
            <w:pPr>
              <w:spacing w:after="0" w:line="252" w:lineRule="auto"/>
            </w:pPr>
            <w:r>
              <w:rPr>
                <w:rFonts w:ascii="Aptos" w:hAnsi="Aptos"/>
                <w:b w:val="0"/>
                <w:i w:val="0"/>
                <w:color w:val="10221C"/>
                <w:sz w:val="17"/>
              </w:rPr>
              <w:t>Certificate, DNS, content hash and header changes.</w:t>
            </w:r>
          </w:p>
        </w:tc>
        <w:tc>
          <w:tcPr>
            <w:tcW w:type="dxa" w:w="3960"/>
            <w:vAlign w:val="center"/>
            <w:tcW w:w="3960" w:type="dxa"/>
            <w:tcMar>
              <w:top w:w="80" w:type="dxa"/>
              <w:start w:w="120" w:type="dxa"/>
              <w:bottom w:w="80" w:type="dxa"/>
              <w:end w:w="120" w:type="dxa"/>
            </w:tcMar>
            <w:shd w:fill="F3F5F1"/>
          </w:tcPr>
          <w:p>
            <w:pPr>
              <w:spacing w:after="0" w:line="252" w:lineRule="auto"/>
            </w:pPr>
            <w:r>
              <w:rPr>
                <w:rFonts w:ascii="Aptos" w:hAnsi="Aptos"/>
                <w:b w:val="0"/>
                <w:i w:val="0"/>
                <w:color w:val="10221C"/>
                <w:sz w:val="17"/>
              </w:rPr>
              <w:t>Risk-aware diffs and maintenance windows.</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Remediation</w:t>
            </w:r>
          </w:p>
        </w:tc>
        <w:tc>
          <w:tcPr>
            <w:tcW w:type="dxa" w:w="3672"/>
            <w:vAlign w:val="center"/>
            <w:tcW w:w="3672" w:type="dxa"/>
            <w:tcMar>
              <w:top w:w="80" w:type="dxa"/>
              <w:start w:w="120" w:type="dxa"/>
              <w:bottom w:w="80" w:type="dxa"/>
              <w:end w:w="120" w:type="dxa"/>
            </w:tcMar>
            <w:shd w:fill="FFFFFF"/>
          </w:tcPr>
          <w:p>
            <w:pPr>
              <w:spacing w:after="0" w:line="252" w:lineRule="auto"/>
            </w:pPr>
            <w:r>
              <w:rPr>
                <w:rFonts w:ascii="Aptos" w:hAnsi="Aptos"/>
                <w:b w:val="0"/>
                <w:i w:val="0"/>
                <w:color w:val="10221C"/>
                <w:sz w:val="17"/>
              </w:rPr>
              <w:t>Guidance, ownership, status, evidence and rescan.</w:t>
            </w:r>
          </w:p>
        </w:tc>
        <w:tc>
          <w:tcPr>
            <w:tcW w:type="dxa" w:w="3960"/>
            <w:vAlign w:val="center"/>
            <w:tcW w:w="3960" w:type="dxa"/>
            <w:tcMar>
              <w:top w:w="80" w:type="dxa"/>
              <w:start w:w="120" w:type="dxa"/>
              <w:bottom w:w="80" w:type="dxa"/>
              <w:end w:w="120" w:type="dxa"/>
            </w:tcMar>
            <w:shd w:fill="FFFFFF"/>
          </w:tcPr>
          <w:p>
            <w:pPr>
              <w:spacing w:after="0" w:line="252" w:lineRule="auto"/>
            </w:pPr>
            <w:r>
              <w:rPr>
                <w:rFonts w:ascii="Aptos" w:hAnsi="Aptos"/>
                <w:b w:val="0"/>
                <w:i w:val="0"/>
                <w:color w:val="10221C"/>
                <w:sz w:val="17"/>
              </w:rPr>
              <w:t>Ticketing integrations and verified automation.</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Communication</w:t>
            </w:r>
          </w:p>
        </w:tc>
        <w:tc>
          <w:tcPr>
            <w:tcW w:type="dxa" w:w="3672"/>
            <w:vAlign w:val="center"/>
            <w:tcW w:w="3672" w:type="dxa"/>
            <w:tcMar>
              <w:top w:w="80" w:type="dxa"/>
              <w:start w:w="120" w:type="dxa"/>
              <w:bottom w:w="80" w:type="dxa"/>
              <w:end w:w="120" w:type="dxa"/>
            </w:tcMar>
            <w:shd w:fill="F3F5F1"/>
          </w:tcPr>
          <w:p>
            <w:pPr>
              <w:spacing w:after="0" w:line="252" w:lineRule="auto"/>
            </w:pPr>
            <w:r>
              <w:rPr>
                <w:rFonts w:ascii="Aptos" w:hAnsi="Aptos"/>
                <w:b w:val="0"/>
                <w:i w:val="0"/>
                <w:color w:val="10221C"/>
                <w:sz w:val="17"/>
              </w:rPr>
              <w:t>Email and WhatsApp-ready share links/digests.</w:t>
            </w:r>
          </w:p>
        </w:tc>
        <w:tc>
          <w:tcPr>
            <w:tcW w:type="dxa" w:w="3960"/>
            <w:vAlign w:val="center"/>
            <w:tcW w:w="3960" w:type="dxa"/>
            <w:tcMar>
              <w:top w:w="80" w:type="dxa"/>
              <w:start w:w="120" w:type="dxa"/>
              <w:bottom w:w="80" w:type="dxa"/>
              <w:end w:w="120" w:type="dxa"/>
            </w:tcMar>
            <w:shd w:fill="F3F5F1"/>
          </w:tcPr>
          <w:p>
            <w:pPr>
              <w:spacing w:after="0" w:line="252" w:lineRule="auto"/>
            </w:pPr>
            <w:r>
              <w:rPr>
                <w:rFonts w:ascii="Aptos" w:hAnsi="Aptos"/>
                <w:b w:val="0"/>
                <w:i w:val="0"/>
                <w:color w:val="10221C"/>
                <w:sz w:val="17"/>
              </w:rPr>
              <w:t>Provider integrations, SMS and webhooks.</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Reporting</w:t>
            </w:r>
          </w:p>
        </w:tc>
        <w:tc>
          <w:tcPr>
            <w:tcW w:type="dxa" w:w="3672"/>
            <w:vAlign w:val="center"/>
            <w:tcW w:w="3672" w:type="dxa"/>
            <w:tcMar>
              <w:top w:w="80" w:type="dxa"/>
              <w:start w:w="120" w:type="dxa"/>
              <w:bottom w:w="80" w:type="dxa"/>
              <w:end w:w="120" w:type="dxa"/>
            </w:tcMar>
            <w:shd w:fill="FFFFFF"/>
          </w:tcPr>
          <w:p>
            <w:pPr>
              <w:spacing w:after="0" w:line="252" w:lineRule="auto"/>
            </w:pPr>
            <w:r>
              <w:rPr>
                <w:rFonts w:ascii="Aptos" w:hAnsi="Aptos"/>
                <w:b w:val="0"/>
                <w:i w:val="0"/>
                <w:color w:val="10221C"/>
                <w:sz w:val="17"/>
              </w:rPr>
              <w:t>Current posture and trend PDF/CSV exports.</w:t>
            </w:r>
          </w:p>
        </w:tc>
        <w:tc>
          <w:tcPr>
            <w:tcW w:type="dxa" w:w="3960"/>
            <w:vAlign w:val="center"/>
            <w:tcW w:w="3960" w:type="dxa"/>
            <w:tcMar>
              <w:top w:w="80" w:type="dxa"/>
              <w:start w:w="120" w:type="dxa"/>
              <w:bottom w:w="80" w:type="dxa"/>
              <w:end w:w="120" w:type="dxa"/>
            </w:tcMar>
            <w:shd w:fill="FFFFFF"/>
          </w:tcPr>
          <w:p>
            <w:pPr>
              <w:spacing w:after="0" w:line="252" w:lineRule="auto"/>
            </w:pPr>
            <w:r>
              <w:rPr>
                <w:rFonts w:ascii="Aptos" w:hAnsi="Aptos"/>
                <w:b w:val="0"/>
                <w:i w:val="0"/>
                <w:color w:val="10221C"/>
                <w:sz w:val="17"/>
              </w:rPr>
              <w:t>Compliance mappings and executive portfolios.</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Platform</w:t>
            </w:r>
          </w:p>
        </w:tc>
        <w:tc>
          <w:tcPr>
            <w:tcW w:type="dxa" w:w="3672"/>
            <w:vAlign w:val="center"/>
            <w:tcW w:w="3672" w:type="dxa"/>
            <w:tcMar>
              <w:top w:w="80" w:type="dxa"/>
              <w:start w:w="120" w:type="dxa"/>
              <w:bottom w:w="80" w:type="dxa"/>
              <w:end w:w="120" w:type="dxa"/>
            </w:tcMar>
            <w:shd w:fill="F3F5F1"/>
          </w:tcPr>
          <w:p>
            <w:pPr>
              <w:spacing w:after="0" w:line="252" w:lineRule="auto"/>
            </w:pPr>
            <w:r>
              <w:rPr>
                <w:rFonts w:ascii="Aptos" w:hAnsi="Aptos"/>
                <w:b w:val="0"/>
                <w:i w:val="0"/>
                <w:color w:val="10221C"/>
                <w:sz w:val="17"/>
              </w:rPr>
              <w:t>Workspaces, roles, audit log, billing-ready plans.</w:t>
            </w:r>
          </w:p>
        </w:tc>
        <w:tc>
          <w:tcPr>
            <w:tcW w:type="dxa" w:w="3960"/>
            <w:vAlign w:val="center"/>
            <w:tcW w:w="3960" w:type="dxa"/>
            <w:tcMar>
              <w:top w:w="80" w:type="dxa"/>
              <w:start w:w="120" w:type="dxa"/>
              <w:bottom w:w="80" w:type="dxa"/>
              <w:end w:w="120" w:type="dxa"/>
            </w:tcMar>
            <w:shd w:fill="F3F5F1"/>
          </w:tcPr>
          <w:p>
            <w:pPr>
              <w:spacing w:after="0" w:line="252" w:lineRule="auto"/>
            </w:pPr>
            <w:r>
              <w:rPr>
                <w:rFonts w:ascii="Aptos" w:hAnsi="Aptos"/>
                <w:b w:val="0"/>
                <w:i w:val="0"/>
                <w:color w:val="10221C"/>
                <w:sz w:val="17"/>
              </w:rPr>
              <w:t>Partner marketplace and public API ecosystem.</w:t>
            </w:r>
          </w:p>
        </w:tc>
      </w:tr>
    </w:tbl>
    <w:p>
      <w:pPr>
        <w:spacing w:after="40"/>
      </w:pPr>
    </w:p>
    <w:p>
      <w:pPr>
        <w:pStyle w:val="Heading2"/>
      </w:pPr>
      <w:r>
        <w:t>4.2 Explicit non-goals for Release One</w:t>
      </w:r>
    </w:p>
    <w:p>
      <w:pPr>
        <w:pStyle w:val="ListBullet"/>
      </w:pPr>
      <w:r>
        <w:rPr>
          <w:rFonts w:ascii="Aptos" w:hAnsi="Aptos"/>
          <w:b w:val="0"/>
          <w:i w:val="0"/>
          <w:color w:val="10221C"/>
          <w:sz w:val="22"/>
        </w:rPr>
        <w:t>Exploit execution, password attacks, denial-of-service testing or aggressive unauthenticated port scanning.</w:t>
      </w:r>
    </w:p>
    <w:p>
      <w:pPr>
        <w:pStyle w:val="ListBullet"/>
      </w:pPr>
      <w:r>
        <w:rPr>
          <w:rFonts w:ascii="Aptos" w:hAnsi="Aptos"/>
          <w:b w:val="0"/>
          <w:i w:val="0"/>
          <w:color w:val="10221C"/>
          <w:sz w:val="22"/>
        </w:rPr>
        <w:t>Endpoint antivirus, full SIEM, employee surveillance or packet interception.</w:t>
      </w:r>
    </w:p>
    <w:p>
      <w:pPr>
        <w:pStyle w:val="ListBullet"/>
      </w:pPr>
      <w:r>
        <w:rPr>
          <w:rFonts w:ascii="Aptos" w:hAnsi="Aptos"/>
          <w:b w:val="0"/>
          <w:i w:val="0"/>
          <w:color w:val="10221C"/>
          <w:sz w:val="22"/>
        </w:rPr>
        <w:t>Guaranteeing security or issuing legal/compliance certification.</w:t>
      </w:r>
    </w:p>
    <w:p>
      <w:pPr>
        <w:pStyle w:val="ListBullet"/>
      </w:pPr>
      <w:r>
        <w:rPr>
          <w:rFonts w:ascii="Aptos" w:hAnsi="Aptos"/>
          <w:b w:val="0"/>
          <w:i w:val="0"/>
          <w:color w:val="10221C"/>
          <w:sz w:val="22"/>
        </w:rPr>
        <w:t>AI-generated findings without deterministic evidence and a documented rule.</w:t>
      </w:r>
    </w:p>
    <w:p>
      <w:pPr>
        <w:pStyle w:val="ListBullet"/>
      </w:pPr>
      <w:r>
        <w:rPr>
          <w:rFonts w:ascii="Aptos" w:hAnsi="Aptos"/>
          <w:b w:val="0"/>
          <w:i w:val="0"/>
          <w:color w:val="10221C"/>
          <w:sz w:val="22"/>
        </w:rPr>
        <w:t>Native mobile applications before the responsive PWA experience proves insufficient.</w:t>
      </w:r>
    </w:p>
    <w:p>
      <w:pPr>
        <w:pStyle w:val="Heading1"/>
      </w:pPr>
      <w:r>
        <w:t>5. Experience and interface system</w:t>
      </w:r>
    </w:p>
    <w:p>
      <w:pPr>
        <w:pStyle w:val="Heading2"/>
      </w:pPr>
      <w:r>
        <w:t>5.1 Experience principles</w:t>
      </w:r>
    </w:p>
    <w:p>
      <w:pPr>
        <w:pStyle w:val="ListBullet"/>
      </w:pPr>
      <w:r>
        <w:rPr>
          <w:rFonts w:ascii="Aptos" w:hAnsi="Aptos"/>
          <w:b w:val="0"/>
          <w:i w:val="0"/>
          <w:color w:val="10221C"/>
          <w:sz w:val="22"/>
        </w:rPr>
        <w:t>Calm, credible and precise: security urgency without fear-based marketing.</w:t>
      </w:r>
    </w:p>
    <w:p>
      <w:pPr>
        <w:pStyle w:val="ListBullet"/>
      </w:pPr>
      <w:r>
        <w:rPr>
          <w:rFonts w:ascii="Aptos" w:hAnsi="Aptos"/>
          <w:b w:val="0"/>
          <w:i w:val="0"/>
          <w:color w:val="10221C"/>
          <w:sz w:val="22"/>
        </w:rPr>
        <w:t>Progressive disclosure: business meaning first, technical evidence second.</w:t>
      </w:r>
    </w:p>
    <w:p>
      <w:pPr>
        <w:pStyle w:val="ListBullet"/>
      </w:pPr>
      <w:r>
        <w:rPr>
          <w:rFonts w:ascii="Aptos" w:hAnsi="Aptos"/>
          <w:b w:val="0"/>
          <w:i w:val="0"/>
          <w:color w:val="10221C"/>
          <w:sz w:val="22"/>
        </w:rPr>
        <w:t>Mobile-first: every critical journey works at 360 px width and on constrained networks.</w:t>
      </w:r>
    </w:p>
    <w:p>
      <w:pPr>
        <w:pStyle w:val="ListBullet"/>
      </w:pPr>
      <w:r>
        <w:rPr>
          <w:rFonts w:ascii="Aptos" w:hAnsi="Aptos"/>
          <w:b w:val="0"/>
          <w:i w:val="0"/>
          <w:color w:val="10221C"/>
          <w:sz w:val="22"/>
        </w:rPr>
        <w:t>Accessible: WCAG 2.2 AA target, keyboard navigation, visible focus and non-color status cues.</w:t>
      </w:r>
    </w:p>
    <w:p>
      <w:pPr>
        <w:pStyle w:val="ListBullet"/>
      </w:pPr>
      <w:r>
        <w:rPr>
          <w:rFonts w:ascii="Aptos" w:hAnsi="Aptos"/>
          <w:b w:val="0"/>
          <w:i w:val="0"/>
          <w:color w:val="10221C"/>
          <w:sz w:val="22"/>
        </w:rPr>
        <w:t>Bilingual architecture: English and Kiswahili strings externalized from the first production build.</w:t>
      </w:r>
    </w:p>
    <w:p>
      <w:pPr>
        <w:pStyle w:val="ListBullet"/>
      </w:pPr>
      <w:r>
        <w:rPr>
          <w:rFonts w:ascii="Aptos" w:hAnsi="Aptos"/>
          <w:b w:val="0"/>
          <w:i w:val="0"/>
          <w:color w:val="10221C"/>
          <w:sz w:val="22"/>
        </w:rPr>
        <w:t>No dark patterns: transparent trials, pricing, data retention and cancellation.</w:t>
      </w:r>
    </w:p>
    <w:p>
      <w:pPr>
        <w:pStyle w:val="Heading2"/>
      </w:pPr>
      <w:r>
        <w:t>5.2 Information architecture</w:t>
      </w:r>
    </w:p>
    <w:tbl>
      <w:tblPr>
        <w:tblW w:type="auto" w:w="0"/>
        <w:jc w:val="left"/>
        <w:tblLayout w:type="fixed"/>
        <w:tblLook w:firstColumn="1" w:firstRow="1" w:lastColumn="0" w:lastRow="0" w:noHBand="0" w:noVBand="1" w:val="04A0"/>
        <w:tblW w:w="9360" w:type="dxa"/>
        <w:tblInd w:w="120" w:type="dxa"/>
      </w:tblPr>
      <w:tblGrid>
        <w:gridCol w:w="2088"/>
        <w:gridCol w:w="7272"/>
      </w:tblGrid>
      <w:tr>
        <w:trPr>
          <w:tblHeader w:val="true"/>
        </w:trPr>
        <w:tc>
          <w:tcPr>
            <w:tcW w:type="dxa" w:w="2088"/>
            <w:vAlign w:val="center"/>
            <w:tcW w:w="2088" w:type="dxa"/>
            <w:tcMar>
              <w:top w:w="80" w:type="dxa"/>
              <w:start w:w="120" w:type="dxa"/>
              <w:bottom w:w="80" w:type="dxa"/>
              <w:end w:w="120" w:type="dxa"/>
            </w:tcMar>
            <w:shd w:fill="12392F"/>
          </w:tcPr>
          <w:p>
            <w:pPr>
              <w:spacing w:after="0" w:line="252" w:lineRule="auto"/>
            </w:pPr>
            <w:r>
              <w:rPr>
                <w:rFonts w:ascii="Aptos" w:hAnsi="Aptos"/>
                <w:b/>
                <w:i w:val="0"/>
                <w:color w:val="FFFFFF"/>
                <w:sz w:val="17"/>
              </w:rPr>
              <w:t>Area</w:t>
            </w:r>
          </w:p>
        </w:tc>
        <w:tc>
          <w:tcPr>
            <w:tcW w:type="dxa" w:w="7272"/>
            <w:vAlign w:val="center"/>
            <w:tcW w:w="7272" w:type="dxa"/>
            <w:tcMar>
              <w:top w:w="80" w:type="dxa"/>
              <w:start w:w="120" w:type="dxa"/>
              <w:bottom w:w="80" w:type="dxa"/>
              <w:end w:w="120" w:type="dxa"/>
            </w:tcMar>
            <w:shd w:fill="12392F"/>
          </w:tcPr>
          <w:p>
            <w:pPr>
              <w:spacing w:after="0" w:line="252" w:lineRule="auto"/>
            </w:pPr>
            <w:r>
              <w:rPr>
                <w:rFonts w:ascii="Aptos" w:hAnsi="Aptos"/>
                <w:b/>
                <w:i w:val="0"/>
                <w:color w:val="FFFFFF"/>
                <w:sz w:val="17"/>
              </w:rPr>
              <w:t>Primary screens</w:t>
            </w:r>
          </w:p>
        </w:tc>
      </w:tr>
      <w:tr>
        <w:tc>
          <w:tcPr>
            <w:tcW w:type="dxa" w:w="2088"/>
            <w:vAlign w:val="center"/>
            <w:tcW w:w="2088" w:type="dxa"/>
            <w:tcMar>
              <w:top w:w="80" w:type="dxa"/>
              <w:start w:w="120" w:type="dxa"/>
              <w:bottom w:w="80" w:type="dxa"/>
              <w:end w:w="120" w:type="dxa"/>
            </w:tcMar>
            <w:shd w:fill="FFFFFF"/>
          </w:tcPr>
          <w:p>
            <w:pPr>
              <w:spacing w:after="0" w:line="252" w:lineRule="auto"/>
            </w:pPr>
            <w:r>
              <w:rPr>
                <w:rFonts w:ascii="Aptos" w:hAnsi="Aptos"/>
                <w:b w:val="0"/>
                <w:i w:val="0"/>
                <w:color w:val="10221C"/>
                <w:sz w:val="17"/>
              </w:rPr>
              <w:t>Public</w:t>
            </w:r>
          </w:p>
        </w:tc>
        <w:tc>
          <w:tcPr>
            <w:tcW w:type="dxa" w:w="7272"/>
            <w:vAlign w:val="center"/>
            <w:tcW w:w="7272" w:type="dxa"/>
            <w:tcMar>
              <w:top w:w="80" w:type="dxa"/>
              <w:start w:w="120" w:type="dxa"/>
              <w:bottom w:w="80" w:type="dxa"/>
              <w:end w:w="120" w:type="dxa"/>
            </w:tcMar>
            <w:shd w:fill="FFFFFF"/>
          </w:tcPr>
          <w:p>
            <w:pPr>
              <w:spacing w:after="0" w:line="252" w:lineRule="auto"/>
            </w:pPr>
            <w:r>
              <w:rPr>
                <w:rFonts w:ascii="Aptos" w:hAnsi="Aptos"/>
                <w:b w:val="0"/>
                <w:i w:val="0"/>
                <w:color w:val="10221C"/>
                <w:sz w:val="17"/>
              </w:rPr>
              <w:t>Landing, free check, methodology, trust centre, pricing, legal, status.</w:t>
            </w:r>
          </w:p>
        </w:tc>
      </w:tr>
      <w:tr>
        <w:tc>
          <w:tcPr>
            <w:tcW w:type="dxa" w:w="2088"/>
            <w:vAlign w:val="center"/>
            <w:tcW w:w="2088" w:type="dxa"/>
            <w:tcMar>
              <w:top w:w="80" w:type="dxa"/>
              <w:start w:w="120" w:type="dxa"/>
              <w:bottom w:w="80" w:type="dxa"/>
              <w:end w:w="120" w:type="dxa"/>
            </w:tcMar>
            <w:shd w:fill="F3F5F1"/>
          </w:tcPr>
          <w:p>
            <w:pPr>
              <w:spacing w:after="0" w:line="252" w:lineRule="auto"/>
            </w:pPr>
            <w:r>
              <w:rPr>
                <w:rFonts w:ascii="Aptos" w:hAnsi="Aptos"/>
                <w:b w:val="0"/>
                <w:i w:val="0"/>
                <w:color w:val="10221C"/>
                <w:sz w:val="17"/>
              </w:rPr>
              <w:t>Onboarding</w:t>
            </w:r>
          </w:p>
        </w:tc>
        <w:tc>
          <w:tcPr>
            <w:tcW w:type="dxa" w:w="7272"/>
            <w:vAlign w:val="center"/>
            <w:tcW w:w="7272" w:type="dxa"/>
            <w:tcMar>
              <w:top w:w="80" w:type="dxa"/>
              <w:start w:w="120" w:type="dxa"/>
              <w:bottom w:w="80" w:type="dxa"/>
              <w:end w:w="120" w:type="dxa"/>
            </w:tcMar>
            <w:shd w:fill="F3F5F1"/>
          </w:tcPr>
          <w:p>
            <w:pPr>
              <w:spacing w:after="0" w:line="252" w:lineRule="auto"/>
            </w:pPr>
            <w:r>
              <w:rPr>
                <w:rFonts w:ascii="Aptos" w:hAnsi="Aptos"/>
                <w:b w:val="0"/>
                <w:i w:val="0"/>
                <w:color w:val="10221C"/>
                <w:sz w:val="17"/>
              </w:rPr>
              <w:t>Account, workspace, domain verification, first scan, result walkthrough.</w:t>
            </w:r>
          </w:p>
        </w:tc>
      </w:tr>
      <w:tr>
        <w:tc>
          <w:tcPr>
            <w:tcW w:type="dxa" w:w="2088"/>
            <w:vAlign w:val="center"/>
            <w:tcW w:w="2088" w:type="dxa"/>
            <w:tcMar>
              <w:top w:w="80" w:type="dxa"/>
              <w:start w:w="120" w:type="dxa"/>
              <w:bottom w:w="80" w:type="dxa"/>
              <w:end w:w="120" w:type="dxa"/>
            </w:tcMar>
            <w:shd w:fill="FFFFFF"/>
          </w:tcPr>
          <w:p>
            <w:pPr>
              <w:spacing w:after="0" w:line="252" w:lineRule="auto"/>
            </w:pPr>
            <w:r>
              <w:rPr>
                <w:rFonts w:ascii="Aptos" w:hAnsi="Aptos"/>
                <w:b w:val="0"/>
                <w:i w:val="0"/>
                <w:color w:val="10221C"/>
                <w:sz w:val="17"/>
              </w:rPr>
              <w:t>Operate</w:t>
            </w:r>
          </w:p>
        </w:tc>
        <w:tc>
          <w:tcPr>
            <w:tcW w:type="dxa" w:w="7272"/>
            <w:vAlign w:val="center"/>
            <w:tcW w:w="7272" w:type="dxa"/>
            <w:tcMar>
              <w:top w:w="80" w:type="dxa"/>
              <w:start w:w="120" w:type="dxa"/>
              <w:bottom w:w="80" w:type="dxa"/>
              <w:end w:w="120" w:type="dxa"/>
            </w:tcMar>
            <w:shd w:fill="FFFFFF"/>
          </w:tcPr>
          <w:p>
            <w:pPr>
              <w:spacing w:after="0" w:line="252" w:lineRule="auto"/>
            </w:pPr>
            <w:r>
              <w:rPr>
                <w:rFonts w:ascii="Aptos" w:hAnsi="Aptos"/>
                <w:b w:val="0"/>
                <w:i w:val="0"/>
                <w:color w:val="10221C"/>
                <w:sz w:val="17"/>
              </w:rPr>
              <w:t>Overview, assets, findings, scans, remediation, reports, alerts.</w:t>
            </w:r>
          </w:p>
        </w:tc>
      </w:tr>
      <w:tr>
        <w:tc>
          <w:tcPr>
            <w:tcW w:type="dxa" w:w="2088"/>
            <w:vAlign w:val="center"/>
            <w:tcW w:w="2088" w:type="dxa"/>
            <w:tcMar>
              <w:top w:w="80" w:type="dxa"/>
              <w:start w:w="120" w:type="dxa"/>
              <w:bottom w:w="80" w:type="dxa"/>
              <w:end w:w="120" w:type="dxa"/>
            </w:tcMar>
            <w:shd w:fill="F3F5F1"/>
          </w:tcPr>
          <w:p>
            <w:pPr>
              <w:spacing w:after="0" w:line="252" w:lineRule="auto"/>
            </w:pPr>
            <w:r>
              <w:rPr>
                <w:rFonts w:ascii="Aptos" w:hAnsi="Aptos"/>
                <w:b w:val="0"/>
                <w:i w:val="0"/>
                <w:color w:val="10221C"/>
                <w:sz w:val="17"/>
              </w:rPr>
              <w:t>Agency</w:t>
            </w:r>
          </w:p>
        </w:tc>
        <w:tc>
          <w:tcPr>
            <w:tcW w:type="dxa" w:w="7272"/>
            <w:vAlign w:val="center"/>
            <w:tcW w:w="7272" w:type="dxa"/>
            <w:tcMar>
              <w:top w:w="80" w:type="dxa"/>
              <w:start w:w="120" w:type="dxa"/>
              <w:bottom w:w="80" w:type="dxa"/>
              <w:end w:w="120" w:type="dxa"/>
            </w:tcMar>
            <w:shd w:fill="F3F5F1"/>
          </w:tcPr>
          <w:p>
            <w:pPr>
              <w:spacing w:after="0" w:line="252" w:lineRule="auto"/>
            </w:pPr>
            <w:r>
              <w:rPr>
                <w:rFonts w:ascii="Aptos" w:hAnsi="Aptos"/>
                <w:b w:val="0"/>
                <w:i w:val="0"/>
                <w:color w:val="10221C"/>
                <w:sz w:val="17"/>
              </w:rPr>
              <w:t>Client portfolio, team, assignments, white-label report configuration.</w:t>
            </w:r>
          </w:p>
        </w:tc>
      </w:tr>
      <w:tr>
        <w:tc>
          <w:tcPr>
            <w:tcW w:type="dxa" w:w="2088"/>
            <w:vAlign w:val="center"/>
            <w:tcW w:w="2088" w:type="dxa"/>
            <w:tcMar>
              <w:top w:w="80" w:type="dxa"/>
              <w:start w:w="120" w:type="dxa"/>
              <w:bottom w:w="80" w:type="dxa"/>
              <w:end w:w="120" w:type="dxa"/>
            </w:tcMar>
            <w:shd w:fill="FFFFFF"/>
          </w:tcPr>
          <w:p>
            <w:pPr>
              <w:spacing w:after="0" w:line="252" w:lineRule="auto"/>
            </w:pPr>
            <w:r>
              <w:rPr>
                <w:rFonts w:ascii="Aptos" w:hAnsi="Aptos"/>
                <w:b w:val="0"/>
                <w:i w:val="0"/>
                <w:color w:val="10221C"/>
                <w:sz w:val="17"/>
              </w:rPr>
              <w:t>Administration</w:t>
            </w:r>
          </w:p>
        </w:tc>
        <w:tc>
          <w:tcPr>
            <w:tcW w:type="dxa" w:w="7272"/>
            <w:vAlign w:val="center"/>
            <w:tcW w:w="7272" w:type="dxa"/>
            <w:tcMar>
              <w:top w:w="80" w:type="dxa"/>
              <w:start w:w="120" w:type="dxa"/>
              <w:bottom w:w="80" w:type="dxa"/>
              <w:end w:w="120" w:type="dxa"/>
            </w:tcMar>
            <w:shd w:fill="FFFFFF"/>
          </w:tcPr>
          <w:p>
            <w:pPr>
              <w:spacing w:after="0" w:line="252" w:lineRule="auto"/>
            </w:pPr>
            <w:r>
              <w:rPr>
                <w:rFonts w:ascii="Aptos" w:hAnsi="Aptos"/>
                <w:b w:val="0"/>
                <w:i w:val="0"/>
                <w:color w:val="10221C"/>
                <w:sz w:val="17"/>
              </w:rPr>
              <w:t>Roles, integrations, billing, audit log, data export/deletion.</w:t>
            </w:r>
          </w:p>
        </w:tc>
      </w:tr>
      <w:tr>
        <w:tc>
          <w:tcPr>
            <w:tcW w:type="dxa" w:w="2088"/>
            <w:vAlign w:val="center"/>
            <w:tcW w:w="2088" w:type="dxa"/>
            <w:tcMar>
              <w:top w:w="80" w:type="dxa"/>
              <w:start w:w="120" w:type="dxa"/>
              <w:bottom w:w="80" w:type="dxa"/>
              <w:end w:w="120" w:type="dxa"/>
            </w:tcMar>
            <w:shd w:fill="F3F5F1"/>
          </w:tcPr>
          <w:p>
            <w:pPr>
              <w:spacing w:after="0" w:line="252" w:lineRule="auto"/>
            </w:pPr>
            <w:r>
              <w:rPr>
                <w:rFonts w:ascii="Aptos" w:hAnsi="Aptos"/>
                <w:b w:val="0"/>
                <w:i w:val="0"/>
                <w:color w:val="10221C"/>
                <w:sz w:val="17"/>
              </w:rPr>
              <w:t>Internal</w:t>
            </w:r>
          </w:p>
        </w:tc>
        <w:tc>
          <w:tcPr>
            <w:tcW w:type="dxa" w:w="7272"/>
            <w:vAlign w:val="center"/>
            <w:tcW w:w="7272" w:type="dxa"/>
            <w:tcMar>
              <w:top w:w="80" w:type="dxa"/>
              <w:start w:w="120" w:type="dxa"/>
              <w:bottom w:w="80" w:type="dxa"/>
              <w:end w:w="120" w:type="dxa"/>
            </w:tcMar>
            <w:shd w:fill="F3F5F1"/>
          </w:tcPr>
          <w:p>
            <w:pPr>
              <w:spacing w:after="0" w:line="252" w:lineRule="auto"/>
            </w:pPr>
            <w:r>
              <w:rPr>
                <w:rFonts w:ascii="Aptos" w:hAnsi="Aptos"/>
                <w:b w:val="0"/>
                <w:i w:val="0"/>
                <w:color w:val="10221C"/>
                <w:sz w:val="17"/>
              </w:rPr>
              <w:t>Rules, scan queues, abuse review, support, service health, feature flags.</w:t>
            </w:r>
          </w:p>
        </w:tc>
      </w:tr>
    </w:tbl>
    <w:p>
      <w:pPr>
        <w:spacing w:after="40"/>
      </w:pPr>
    </w:p>
    <w:p>
      <w:pPr>
        <w:pStyle w:val="Heading2"/>
      </w:pPr>
      <w:r>
        <w:t>5.3 Dashboard hierarchy</w:t>
      </w:r>
    </w:p>
    <w:p>
      <w:r>
        <w:rPr>
          <w:rFonts w:ascii="Aptos" w:hAnsi="Aptos"/>
          <w:b w:val="0"/>
          <w:i w:val="0"/>
          <w:color w:val="10221C"/>
          <w:sz w:val="22"/>
        </w:rPr>
        <w:t>The dashboard leads with: critical change since last scan; top three actions; overall trend; protected assets; recent scans; then deeper categories. A security score is never shown without its components, timestamp, confidence and limitations.</w:t>
      </w:r>
    </w:p>
    <w:p>
      <w:pPr>
        <w:pStyle w:val="Heading2"/>
      </w:pPr>
      <w:r>
        <w:t>5.4 Design system</w:t>
      </w:r>
    </w:p>
    <w:p>
      <w:r>
        <w:rPr>
          <w:rFonts w:ascii="Aptos" w:hAnsi="Aptos"/>
          <w:b w:val="0"/>
          <w:i w:val="0"/>
          <w:color w:val="10221C"/>
          <w:sz w:val="22"/>
        </w:rPr>
        <w:t>Visual identity uses deep forest green (#12392F), lime signal (#B9F34A), warm neutral surfaces and high-contrast ink. Components include severity badges, evidence cards, asset chips, trend charts, remediation timelines, verified-status markers, skeleton states and empty-state education. Storybook or an equivalent component catalogue becomes mandatory before public beta.</w:t>
      </w:r>
    </w:p>
    <w:p>
      <w:pPr>
        <w:pStyle w:val="Heading1"/>
      </w:pPr>
      <w:r>
        <w:t>6. System architecture</w:t>
      </w:r>
    </w:p>
    <w:p>
      <w:pPr>
        <w:pStyle w:val="Callout"/>
        <w:shd w:fill="EAF3E7"/>
        <w:spacing w:before="170" w:after="170"/>
      </w:pPr>
      <w:r>
        <w:rPr>
          <w:rFonts w:ascii="Aptos" w:hAnsi="Aptos"/>
          <w:b/>
          <w:i w:val="0"/>
          <w:color w:val="12392F"/>
          <w:sz w:val="19"/>
        </w:rPr>
        <w:t xml:space="preserve">ARCHITECTURE PRINCIPLE  </w:t>
      </w:r>
      <w:r>
        <w:rPr>
          <w:rFonts w:ascii="Aptos" w:hAnsi="Aptos"/>
          <w:b w:val="0"/>
          <w:i w:val="0"/>
          <w:color w:val="10221C"/>
          <w:sz w:val="21"/>
        </w:rPr>
        <w:t>Separate the customer-facing control plane from the scanning data plane. Scanners are untrusted workers with minimal credentials, strict egress policy, bounded execution and no direct access to application secrets.</w:t>
      </w:r>
    </w:p>
    <w:p>
      <w:pPr>
        <w:pStyle w:val="Heading2"/>
      </w:pPr>
      <w:r>
        <w:t>6.1 Target architecture</w:t>
      </w:r>
    </w:p>
    <w:p>
      <w:r>
        <w:rPr>
          <w:rFonts w:ascii="Aptos" w:hAnsi="Aptos"/>
          <w:b w:val="0"/>
          <w:i w:val="0"/>
          <w:color w:val="10221C"/>
          <w:sz w:val="22"/>
        </w:rPr>
        <w:t>Browser/PWA → CDN and web application → API gateway → application services → PostgreSQL. The application publishes signed scan jobs to a queue. Isolated workers execute approved checks through controlled egress, store normalized evidence in object storage and results in PostgreSQL, then emit finding and notification events. A scheduler creates recurring jobs; an observability stack receives logs, metrics and traces.</w:t>
      </w:r>
    </w:p>
    <w:tbl>
      <w:tblPr>
        <w:tblW w:type="auto" w:w="0"/>
        <w:jc w:val="left"/>
        <w:tblLayout w:type="fixed"/>
        <w:tblLook w:firstColumn="1" w:firstRow="1" w:lastColumn="0" w:lastRow="0" w:noHBand="0" w:noVBand="1" w:val="04A0"/>
        <w:tblW w:w="9360" w:type="dxa"/>
        <w:tblInd w:w="120" w:type="dxa"/>
      </w:tblPr>
      <w:tblGrid>
        <w:gridCol w:w="1728"/>
        <w:gridCol w:w="3312"/>
        <w:gridCol w:w="4320"/>
      </w:tblGrid>
      <w:tr>
        <w:trPr>
          <w:tblHeader w:val="true"/>
        </w:trPr>
        <w:tc>
          <w:tcPr>
            <w:tcW w:type="dxa" w:w="1728"/>
            <w:vAlign w:val="center"/>
            <w:tcW w:w="1728" w:type="dxa"/>
            <w:tcMar>
              <w:top w:w="80" w:type="dxa"/>
              <w:start w:w="120" w:type="dxa"/>
              <w:bottom w:w="80" w:type="dxa"/>
              <w:end w:w="120" w:type="dxa"/>
            </w:tcMar>
            <w:shd w:fill="12392F"/>
          </w:tcPr>
          <w:p>
            <w:pPr>
              <w:spacing w:after="0" w:line="252" w:lineRule="auto"/>
            </w:pPr>
            <w:r>
              <w:rPr>
                <w:rFonts w:ascii="Aptos" w:hAnsi="Aptos"/>
                <w:b/>
                <w:i w:val="0"/>
                <w:color w:val="FFFFFF"/>
                <w:sz w:val="17"/>
              </w:rPr>
              <w:t>Layer</w:t>
            </w:r>
          </w:p>
        </w:tc>
        <w:tc>
          <w:tcPr>
            <w:tcW w:type="dxa" w:w="3312"/>
            <w:vAlign w:val="center"/>
            <w:tcW w:w="3312" w:type="dxa"/>
            <w:tcMar>
              <w:top w:w="80" w:type="dxa"/>
              <w:start w:w="120" w:type="dxa"/>
              <w:bottom w:w="80" w:type="dxa"/>
              <w:end w:w="120" w:type="dxa"/>
            </w:tcMar>
            <w:shd w:fill="12392F"/>
          </w:tcPr>
          <w:p>
            <w:pPr>
              <w:spacing w:after="0" w:line="252" w:lineRule="auto"/>
            </w:pPr>
            <w:r>
              <w:rPr>
                <w:rFonts w:ascii="Aptos" w:hAnsi="Aptos"/>
                <w:b/>
                <w:i w:val="0"/>
                <w:color w:val="FFFFFF"/>
                <w:sz w:val="17"/>
              </w:rPr>
              <w:t>Recommended direction</w:t>
            </w:r>
          </w:p>
        </w:tc>
        <w:tc>
          <w:tcPr>
            <w:tcW w:type="dxa" w:w="4320"/>
            <w:vAlign w:val="center"/>
            <w:tcW w:w="4320" w:type="dxa"/>
            <w:tcMar>
              <w:top w:w="80" w:type="dxa"/>
              <w:start w:w="120" w:type="dxa"/>
              <w:bottom w:w="80" w:type="dxa"/>
              <w:end w:w="120" w:type="dxa"/>
            </w:tcMar>
            <w:shd w:fill="12392F"/>
          </w:tcPr>
          <w:p>
            <w:pPr>
              <w:spacing w:after="0" w:line="252" w:lineRule="auto"/>
            </w:pPr>
            <w:r>
              <w:rPr>
                <w:rFonts w:ascii="Aptos" w:hAnsi="Aptos"/>
                <w:b/>
                <w:i w:val="0"/>
                <w:color w:val="FFFFFF"/>
                <w:sz w:val="17"/>
              </w:rPr>
              <w:t>Reason</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Web</w:t>
            </w:r>
          </w:p>
        </w:tc>
        <w:tc>
          <w:tcPr>
            <w:tcW w:type="dxa" w:w="3312"/>
            <w:vAlign w:val="center"/>
            <w:tcW w:w="3312" w:type="dxa"/>
            <w:tcMar>
              <w:top w:w="80" w:type="dxa"/>
              <w:start w:w="120" w:type="dxa"/>
              <w:bottom w:w="80" w:type="dxa"/>
              <w:end w:w="120" w:type="dxa"/>
            </w:tcMar>
            <w:shd w:fill="FFFFFF"/>
          </w:tcPr>
          <w:p>
            <w:pPr>
              <w:spacing w:after="0" w:line="252" w:lineRule="auto"/>
            </w:pPr>
            <w:r>
              <w:rPr>
                <w:rFonts w:ascii="Aptos" w:hAnsi="Aptos"/>
                <w:b w:val="0"/>
                <w:i w:val="0"/>
                <w:color w:val="10221C"/>
                <w:sz w:val="17"/>
              </w:rPr>
              <w:t>Next.js with TypeScript</w:t>
            </w:r>
          </w:p>
        </w:tc>
        <w:tc>
          <w:tcPr>
            <w:tcW w:type="dxa" w:w="4320"/>
            <w:vAlign w:val="center"/>
            <w:tcW w:w="4320" w:type="dxa"/>
            <w:tcMar>
              <w:top w:w="80" w:type="dxa"/>
              <w:start w:w="120" w:type="dxa"/>
              <w:bottom w:w="80" w:type="dxa"/>
              <w:end w:w="120" w:type="dxa"/>
            </w:tcMar>
            <w:shd w:fill="FFFFFF"/>
          </w:tcPr>
          <w:p>
            <w:pPr>
              <w:spacing w:after="0" w:line="252" w:lineRule="auto"/>
            </w:pPr>
            <w:r>
              <w:rPr>
                <w:rFonts w:ascii="Aptos" w:hAnsi="Aptos"/>
                <w:b w:val="0"/>
                <w:i w:val="0"/>
                <w:color w:val="10221C"/>
                <w:sz w:val="17"/>
              </w:rPr>
              <w:t>Strong server rendering, routing, PWA support and shared types.</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API</w:t>
            </w:r>
          </w:p>
        </w:tc>
        <w:tc>
          <w:tcPr>
            <w:tcW w:type="dxa" w:w="3312"/>
            <w:vAlign w:val="center"/>
            <w:tcW w:w="3312" w:type="dxa"/>
            <w:tcMar>
              <w:top w:w="80" w:type="dxa"/>
              <w:start w:w="120" w:type="dxa"/>
              <w:bottom w:w="80" w:type="dxa"/>
              <w:end w:w="120" w:type="dxa"/>
            </w:tcMar>
            <w:shd w:fill="F3F5F1"/>
          </w:tcPr>
          <w:p>
            <w:pPr>
              <w:spacing w:after="0" w:line="252" w:lineRule="auto"/>
            </w:pPr>
            <w:r>
              <w:rPr>
                <w:rFonts w:ascii="Aptos" w:hAnsi="Aptos"/>
                <w:b w:val="0"/>
                <w:i w:val="0"/>
                <w:color w:val="10221C"/>
                <w:sz w:val="17"/>
              </w:rPr>
              <w:t>NestJS/TypeScript or FastAPI/Python</w:t>
            </w:r>
          </w:p>
        </w:tc>
        <w:tc>
          <w:tcPr>
            <w:tcW w:type="dxa" w:w="4320"/>
            <w:vAlign w:val="center"/>
            <w:tcW w:w="4320" w:type="dxa"/>
            <w:tcMar>
              <w:top w:w="80" w:type="dxa"/>
              <w:start w:w="120" w:type="dxa"/>
              <w:bottom w:w="80" w:type="dxa"/>
              <w:end w:w="120" w:type="dxa"/>
            </w:tcMar>
            <w:shd w:fill="F3F5F1"/>
          </w:tcPr>
          <w:p>
            <w:pPr>
              <w:spacing w:after="0" w:line="252" w:lineRule="auto"/>
            </w:pPr>
            <w:r>
              <w:rPr>
                <w:rFonts w:ascii="Aptos" w:hAnsi="Aptos"/>
                <w:b w:val="0"/>
                <w:i w:val="0"/>
                <w:color w:val="10221C"/>
                <w:sz w:val="17"/>
              </w:rPr>
              <w:t>Structured modules, validation and OpenAPI; choose one at foundation milestone.</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Scanner</w:t>
            </w:r>
          </w:p>
        </w:tc>
        <w:tc>
          <w:tcPr>
            <w:tcW w:type="dxa" w:w="3312"/>
            <w:vAlign w:val="center"/>
            <w:tcW w:w="3312" w:type="dxa"/>
            <w:tcMar>
              <w:top w:w="80" w:type="dxa"/>
              <w:start w:w="120" w:type="dxa"/>
              <w:bottom w:w="80" w:type="dxa"/>
              <w:end w:w="120" w:type="dxa"/>
            </w:tcMar>
            <w:shd w:fill="FFFFFF"/>
          </w:tcPr>
          <w:p>
            <w:pPr>
              <w:spacing w:after="0" w:line="252" w:lineRule="auto"/>
            </w:pPr>
            <w:r>
              <w:rPr>
                <w:rFonts w:ascii="Aptos" w:hAnsi="Aptos"/>
                <w:b w:val="0"/>
                <w:i w:val="0"/>
                <w:color w:val="10221C"/>
                <w:sz w:val="17"/>
              </w:rPr>
              <w:t>Python workers</w:t>
            </w:r>
          </w:p>
        </w:tc>
        <w:tc>
          <w:tcPr>
            <w:tcW w:type="dxa" w:w="4320"/>
            <w:vAlign w:val="center"/>
            <w:tcW w:w="4320" w:type="dxa"/>
            <w:tcMar>
              <w:top w:w="80" w:type="dxa"/>
              <w:start w:w="120" w:type="dxa"/>
              <w:bottom w:w="80" w:type="dxa"/>
              <w:end w:w="120" w:type="dxa"/>
            </w:tcMar>
            <w:shd w:fill="FFFFFF"/>
          </w:tcPr>
          <w:p>
            <w:pPr>
              <w:spacing w:after="0" w:line="252" w:lineRule="auto"/>
            </w:pPr>
            <w:r>
              <w:rPr>
                <w:rFonts w:ascii="Aptos" w:hAnsi="Aptos"/>
                <w:b w:val="0"/>
                <w:i w:val="0"/>
                <w:color w:val="10221C"/>
                <w:sz w:val="17"/>
              </w:rPr>
              <w:t>Mature networking, DNS, TLS and security-analysis libraries.</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Data</w:t>
            </w:r>
          </w:p>
        </w:tc>
        <w:tc>
          <w:tcPr>
            <w:tcW w:type="dxa" w:w="3312"/>
            <w:vAlign w:val="center"/>
            <w:tcW w:w="3312" w:type="dxa"/>
            <w:tcMar>
              <w:top w:w="80" w:type="dxa"/>
              <w:start w:w="120" w:type="dxa"/>
              <w:bottom w:w="80" w:type="dxa"/>
              <w:end w:w="120" w:type="dxa"/>
            </w:tcMar>
            <w:shd w:fill="F3F5F1"/>
          </w:tcPr>
          <w:p>
            <w:pPr>
              <w:spacing w:after="0" w:line="252" w:lineRule="auto"/>
            </w:pPr>
            <w:r>
              <w:rPr>
                <w:rFonts w:ascii="Aptos" w:hAnsi="Aptos"/>
                <w:b w:val="0"/>
                <w:i w:val="0"/>
                <w:color w:val="10221C"/>
                <w:sz w:val="17"/>
              </w:rPr>
              <w:t>Managed PostgreSQL + Redis-compatible queue/cache</w:t>
            </w:r>
          </w:p>
        </w:tc>
        <w:tc>
          <w:tcPr>
            <w:tcW w:type="dxa" w:w="4320"/>
            <w:vAlign w:val="center"/>
            <w:tcW w:w="4320" w:type="dxa"/>
            <w:tcMar>
              <w:top w:w="80" w:type="dxa"/>
              <w:start w:w="120" w:type="dxa"/>
              <w:bottom w:w="80" w:type="dxa"/>
              <w:end w:w="120" w:type="dxa"/>
            </w:tcMar>
            <w:shd w:fill="F3F5F1"/>
          </w:tcPr>
          <w:p>
            <w:pPr>
              <w:spacing w:after="0" w:line="252" w:lineRule="auto"/>
            </w:pPr>
            <w:r>
              <w:rPr>
                <w:rFonts w:ascii="Aptos" w:hAnsi="Aptos"/>
                <w:b w:val="0"/>
                <w:i w:val="0"/>
                <w:color w:val="10221C"/>
                <w:sz w:val="17"/>
              </w:rPr>
              <w:t>Relational integrity, JSON evidence and reliable jobs.</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Artifacts</w:t>
            </w:r>
          </w:p>
        </w:tc>
        <w:tc>
          <w:tcPr>
            <w:tcW w:type="dxa" w:w="3312"/>
            <w:vAlign w:val="center"/>
            <w:tcW w:w="3312" w:type="dxa"/>
            <w:tcMar>
              <w:top w:w="80" w:type="dxa"/>
              <w:start w:w="120" w:type="dxa"/>
              <w:bottom w:w="80" w:type="dxa"/>
              <w:end w:w="120" w:type="dxa"/>
            </w:tcMar>
            <w:shd w:fill="FFFFFF"/>
          </w:tcPr>
          <w:p>
            <w:pPr>
              <w:spacing w:after="0" w:line="252" w:lineRule="auto"/>
            </w:pPr>
            <w:r>
              <w:rPr>
                <w:rFonts w:ascii="Aptos" w:hAnsi="Aptos"/>
                <w:b w:val="0"/>
                <w:i w:val="0"/>
                <w:color w:val="10221C"/>
                <w:sz w:val="17"/>
              </w:rPr>
              <w:t>S3-compatible encrypted object storage</w:t>
            </w:r>
          </w:p>
        </w:tc>
        <w:tc>
          <w:tcPr>
            <w:tcW w:type="dxa" w:w="4320"/>
            <w:vAlign w:val="center"/>
            <w:tcW w:w="4320" w:type="dxa"/>
            <w:tcMar>
              <w:top w:w="80" w:type="dxa"/>
              <w:start w:w="120" w:type="dxa"/>
              <w:bottom w:w="80" w:type="dxa"/>
              <w:end w:w="120" w:type="dxa"/>
            </w:tcMar>
            <w:shd w:fill="FFFFFF"/>
          </w:tcPr>
          <w:p>
            <w:pPr>
              <w:spacing w:after="0" w:line="252" w:lineRule="auto"/>
            </w:pPr>
            <w:r>
              <w:rPr>
                <w:rFonts w:ascii="Aptos" w:hAnsi="Aptos"/>
                <w:b w:val="0"/>
                <w:i w:val="0"/>
                <w:color w:val="10221C"/>
                <w:sz w:val="17"/>
              </w:rPr>
              <w:t>Reports and bounded evidence retention.</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Identity</w:t>
            </w:r>
          </w:p>
        </w:tc>
        <w:tc>
          <w:tcPr>
            <w:tcW w:type="dxa" w:w="3312"/>
            <w:vAlign w:val="center"/>
            <w:tcW w:w="3312" w:type="dxa"/>
            <w:tcMar>
              <w:top w:w="80" w:type="dxa"/>
              <w:start w:w="120" w:type="dxa"/>
              <w:bottom w:w="80" w:type="dxa"/>
              <w:end w:w="120" w:type="dxa"/>
            </w:tcMar>
            <w:shd w:fill="F3F5F1"/>
          </w:tcPr>
          <w:p>
            <w:pPr>
              <w:spacing w:after="0" w:line="252" w:lineRule="auto"/>
            </w:pPr>
            <w:r>
              <w:rPr>
                <w:rFonts w:ascii="Aptos" w:hAnsi="Aptos"/>
                <w:b w:val="0"/>
                <w:i w:val="0"/>
                <w:color w:val="10221C"/>
                <w:sz w:val="17"/>
              </w:rPr>
              <w:t>Managed OIDC initially</w:t>
            </w:r>
          </w:p>
        </w:tc>
        <w:tc>
          <w:tcPr>
            <w:tcW w:type="dxa" w:w="4320"/>
            <w:vAlign w:val="center"/>
            <w:tcW w:w="4320" w:type="dxa"/>
            <w:tcMar>
              <w:top w:w="80" w:type="dxa"/>
              <w:start w:w="120" w:type="dxa"/>
              <w:bottom w:w="80" w:type="dxa"/>
              <w:end w:w="120" w:type="dxa"/>
            </w:tcMar>
            <w:shd w:fill="F3F5F1"/>
          </w:tcPr>
          <w:p>
            <w:pPr>
              <w:spacing w:after="0" w:line="252" w:lineRule="auto"/>
            </w:pPr>
            <w:r>
              <w:rPr>
                <w:rFonts w:ascii="Aptos" w:hAnsi="Aptos"/>
                <w:b w:val="0"/>
                <w:i w:val="0"/>
                <w:color w:val="10221C"/>
                <w:sz w:val="17"/>
              </w:rPr>
              <w:t>MFA, recovery and reduced authentication risk.</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Infrastructure</w:t>
            </w:r>
          </w:p>
        </w:tc>
        <w:tc>
          <w:tcPr>
            <w:tcW w:type="dxa" w:w="3312"/>
            <w:vAlign w:val="center"/>
            <w:tcW w:w="3312" w:type="dxa"/>
            <w:tcMar>
              <w:top w:w="80" w:type="dxa"/>
              <w:start w:w="120" w:type="dxa"/>
              <w:bottom w:w="80" w:type="dxa"/>
              <w:end w:w="120" w:type="dxa"/>
            </w:tcMar>
            <w:shd w:fill="FFFFFF"/>
          </w:tcPr>
          <w:p>
            <w:pPr>
              <w:spacing w:after="0" w:line="252" w:lineRule="auto"/>
            </w:pPr>
            <w:r>
              <w:rPr>
                <w:rFonts w:ascii="Aptos" w:hAnsi="Aptos"/>
                <w:b w:val="0"/>
                <w:i w:val="0"/>
                <w:color w:val="10221C"/>
                <w:sz w:val="17"/>
              </w:rPr>
              <w:t>Containers + infrastructure as code</w:t>
            </w:r>
          </w:p>
        </w:tc>
        <w:tc>
          <w:tcPr>
            <w:tcW w:type="dxa" w:w="4320"/>
            <w:vAlign w:val="center"/>
            <w:tcW w:w="4320" w:type="dxa"/>
            <w:tcMar>
              <w:top w:w="80" w:type="dxa"/>
              <w:start w:w="120" w:type="dxa"/>
              <w:bottom w:w="80" w:type="dxa"/>
              <w:end w:w="120" w:type="dxa"/>
            </w:tcMar>
            <w:shd w:fill="FFFFFF"/>
          </w:tcPr>
          <w:p>
            <w:pPr>
              <w:spacing w:after="0" w:line="252" w:lineRule="auto"/>
            </w:pPr>
            <w:r>
              <w:rPr>
                <w:rFonts w:ascii="Aptos" w:hAnsi="Aptos"/>
                <w:b w:val="0"/>
                <w:i w:val="0"/>
                <w:color w:val="10221C"/>
                <w:sz w:val="17"/>
              </w:rPr>
              <w:t>Repeatability and future cloud portability.</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Observability</w:t>
            </w:r>
          </w:p>
        </w:tc>
        <w:tc>
          <w:tcPr>
            <w:tcW w:type="dxa" w:w="3312"/>
            <w:vAlign w:val="center"/>
            <w:tcW w:w="3312" w:type="dxa"/>
            <w:tcMar>
              <w:top w:w="80" w:type="dxa"/>
              <w:start w:w="120" w:type="dxa"/>
              <w:bottom w:w="80" w:type="dxa"/>
              <w:end w:w="120" w:type="dxa"/>
            </w:tcMar>
            <w:shd w:fill="F3F5F1"/>
          </w:tcPr>
          <w:p>
            <w:pPr>
              <w:spacing w:after="0" w:line="252" w:lineRule="auto"/>
            </w:pPr>
            <w:r>
              <w:rPr>
                <w:rFonts w:ascii="Aptos" w:hAnsi="Aptos"/>
                <w:b w:val="0"/>
                <w:i w:val="0"/>
                <w:color w:val="10221C"/>
                <w:sz w:val="17"/>
              </w:rPr>
              <w:t>OpenTelemetry + managed logs/metrics/errors</w:t>
            </w:r>
          </w:p>
        </w:tc>
        <w:tc>
          <w:tcPr>
            <w:tcW w:type="dxa" w:w="4320"/>
            <w:vAlign w:val="center"/>
            <w:tcW w:w="4320" w:type="dxa"/>
            <w:tcMar>
              <w:top w:w="80" w:type="dxa"/>
              <w:start w:w="120" w:type="dxa"/>
              <w:bottom w:w="80" w:type="dxa"/>
              <w:end w:w="120" w:type="dxa"/>
            </w:tcMar>
            <w:shd w:fill="F3F5F1"/>
          </w:tcPr>
          <w:p>
            <w:pPr>
              <w:spacing w:after="0" w:line="252" w:lineRule="auto"/>
            </w:pPr>
            <w:r>
              <w:rPr>
                <w:rFonts w:ascii="Aptos" w:hAnsi="Aptos"/>
                <w:b w:val="0"/>
                <w:i w:val="0"/>
                <w:color w:val="10221C"/>
                <w:sz w:val="17"/>
              </w:rPr>
              <w:t>Vendor-neutral instrumentation and operational visibility.</w:t>
            </w:r>
          </w:p>
        </w:tc>
      </w:tr>
    </w:tbl>
    <w:p>
      <w:pPr>
        <w:spacing w:after="40"/>
      </w:pPr>
    </w:p>
    <w:p>
      <w:pPr>
        <w:pStyle w:val="Heading2"/>
      </w:pPr>
      <w:r>
        <w:t>6.2 Architectural qualities</w:t>
      </w:r>
    </w:p>
    <w:p>
      <w:pPr>
        <w:pStyle w:val="ListBullet"/>
      </w:pPr>
      <w:r>
        <w:rPr>
          <w:rFonts w:ascii="Aptos" w:hAnsi="Aptos"/>
          <w:b w:val="0"/>
          <w:i w:val="0"/>
          <w:color w:val="10221C"/>
          <w:sz w:val="22"/>
        </w:rPr>
        <w:t>Tenant isolation at every query and object-storage path.</w:t>
      </w:r>
    </w:p>
    <w:p>
      <w:pPr>
        <w:pStyle w:val="ListBullet"/>
      </w:pPr>
      <w:r>
        <w:rPr>
          <w:rFonts w:ascii="Aptos" w:hAnsi="Aptos"/>
          <w:b w:val="0"/>
          <w:i w:val="0"/>
          <w:color w:val="10221C"/>
          <w:sz w:val="22"/>
        </w:rPr>
        <w:t>Idempotent scan jobs with immutable job IDs and retry limits.</w:t>
      </w:r>
    </w:p>
    <w:p>
      <w:pPr>
        <w:pStyle w:val="ListBullet"/>
      </w:pPr>
      <w:r>
        <w:rPr>
          <w:rFonts w:ascii="Aptos" w:hAnsi="Aptos"/>
          <w:b w:val="0"/>
          <w:i w:val="0"/>
          <w:color w:val="10221C"/>
          <w:sz w:val="22"/>
        </w:rPr>
        <w:t>Versioned rules, scores, APIs and evidence schemas.</w:t>
      </w:r>
    </w:p>
    <w:p>
      <w:pPr>
        <w:pStyle w:val="ListBullet"/>
      </w:pPr>
      <w:r>
        <w:rPr>
          <w:rFonts w:ascii="Aptos" w:hAnsi="Aptos"/>
          <w:b w:val="0"/>
          <w:i w:val="0"/>
          <w:color w:val="10221C"/>
          <w:sz w:val="22"/>
        </w:rPr>
        <w:t>Horizontal worker scaling independent of web traffic.</w:t>
      </w:r>
    </w:p>
    <w:p>
      <w:pPr>
        <w:pStyle w:val="ListBullet"/>
      </w:pPr>
      <w:r>
        <w:rPr>
          <w:rFonts w:ascii="Aptos" w:hAnsi="Aptos"/>
          <w:b w:val="0"/>
          <w:i w:val="0"/>
          <w:color w:val="10221C"/>
          <w:sz w:val="22"/>
        </w:rPr>
        <w:t>Graceful degradation: dashboards remain usable during scan backlog or notification outage.</w:t>
      </w:r>
    </w:p>
    <w:p>
      <w:pPr>
        <w:pStyle w:val="ListBullet"/>
      </w:pPr>
      <w:r>
        <w:rPr>
          <w:rFonts w:ascii="Aptos" w:hAnsi="Aptos"/>
          <w:b w:val="0"/>
          <w:i w:val="0"/>
          <w:color w:val="10221C"/>
          <w:sz w:val="22"/>
        </w:rPr>
        <w:t>Regional deployment readiness without premature multi-region complexity.</w:t>
      </w:r>
    </w:p>
    <w:p>
      <w:pPr>
        <w:pStyle w:val="Heading2"/>
      </w:pPr>
      <w:r>
        <w:t>6.3 Architecture decisions required before implementation</w:t>
      </w:r>
    </w:p>
    <w:p>
      <w:pPr>
        <w:pStyle w:val="ListBullet"/>
      </w:pPr>
      <w:r>
        <w:rPr>
          <w:rFonts w:ascii="Aptos" w:hAnsi="Aptos"/>
          <w:b w:val="0"/>
          <w:i w:val="0"/>
          <w:color w:val="10221C"/>
          <w:sz w:val="22"/>
        </w:rPr>
        <w:t>Cloud/hosting provider and data region</w:t>
      </w:r>
    </w:p>
    <w:p>
      <w:pPr>
        <w:pStyle w:val="ListBullet"/>
      </w:pPr>
      <w:r>
        <w:rPr>
          <w:rFonts w:ascii="Aptos" w:hAnsi="Aptos"/>
          <w:b w:val="0"/>
          <w:i w:val="0"/>
          <w:color w:val="10221C"/>
          <w:sz w:val="22"/>
        </w:rPr>
        <w:t>Primary backend framework</w:t>
      </w:r>
    </w:p>
    <w:p>
      <w:pPr>
        <w:pStyle w:val="ListBullet"/>
      </w:pPr>
      <w:r>
        <w:rPr>
          <w:rFonts w:ascii="Aptos" w:hAnsi="Aptos"/>
          <w:b w:val="0"/>
          <w:i w:val="0"/>
          <w:color w:val="10221C"/>
          <w:sz w:val="22"/>
        </w:rPr>
        <w:t>Queue implementation</w:t>
      </w:r>
    </w:p>
    <w:p>
      <w:pPr>
        <w:pStyle w:val="ListBullet"/>
      </w:pPr>
      <w:r>
        <w:rPr>
          <w:rFonts w:ascii="Aptos" w:hAnsi="Aptos"/>
          <w:b w:val="0"/>
          <w:i w:val="0"/>
          <w:color w:val="10221C"/>
          <w:sz w:val="22"/>
        </w:rPr>
        <w:t>Identity provider</w:t>
      </w:r>
    </w:p>
    <w:p>
      <w:pPr>
        <w:pStyle w:val="ListBullet"/>
      </w:pPr>
      <w:r>
        <w:rPr>
          <w:rFonts w:ascii="Aptos" w:hAnsi="Aptos"/>
          <w:b w:val="0"/>
          <w:i w:val="0"/>
          <w:color w:val="10221C"/>
          <w:sz w:val="22"/>
        </w:rPr>
        <w:t>Notification providers</w:t>
      </w:r>
    </w:p>
    <w:p>
      <w:pPr>
        <w:pStyle w:val="ListBullet"/>
      </w:pPr>
      <w:r>
        <w:rPr>
          <w:rFonts w:ascii="Aptos" w:hAnsi="Aptos"/>
          <w:b w:val="0"/>
          <w:i w:val="0"/>
          <w:color w:val="10221C"/>
          <w:sz w:val="22"/>
        </w:rPr>
        <w:t>Payment provider</w:t>
      </w:r>
    </w:p>
    <w:p>
      <w:pPr>
        <w:pStyle w:val="ListBullet"/>
      </w:pPr>
      <w:r>
        <w:rPr>
          <w:rFonts w:ascii="Aptos" w:hAnsi="Aptos"/>
          <w:b w:val="0"/>
          <w:i w:val="0"/>
          <w:color w:val="10221C"/>
          <w:sz w:val="22"/>
        </w:rPr>
        <w:t>Retention policy and Tanzania legal review</w:t>
      </w:r>
    </w:p>
    <w:p>
      <w:pPr>
        <w:pStyle w:val="Heading1"/>
      </w:pPr>
      <w:r>
        <w:t>7. Scanner and findings engine</w:t>
      </w:r>
    </w:p>
    <w:p>
      <w:pPr>
        <w:pStyle w:val="Heading2"/>
      </w:pPr>
      <w:r>
        <w:t>7.1 Safe Release-One checks</w:t>
      </w:r>
    </w:p>
    <w:tbl>
      <w:tblPr>
        <w:tblW w:type="auto" w:w="0"/>
        <w:jc w:val="left"/>
        <w:tblLayout w:type="fixed"/>
        <w:tblLook w:firstColumn="1" w:firstRow="1" w:lastColumn="0" w:lastRow="0" w:noHBand="0" w:noVBand="1" w:val="04A0"/>
        <w:tblW w:w="9360" w:type="dxa"/>
        <w:tblInd w:w="120" w:type="dxa"/>
      </w:tblPr>
      <w:tblGrid>
        <w:gridCol w:w="1656"/>
        <w:gridCol w:w="5256"/>
        <w:gridCol w:w="2448"/>
      </w:tblGrid>
      <w:tr>
        <w:trPr>
          <w:tblHeader w:val="true"/>
        </w:trPr>
        <w:tc>
          <w:tcPr>
            <w:tcW w:type="dxa" w:w="1656"/>
            <w:vAlign w:val="center"/>
            <w:tcW w:w="1656" w:type="dxa"/>
            <w:tcMar>
              <w:top w:w="80" w:type="dxa"/>
              <w:start w:w="120" w:type="dxa"/>
              <w:bottom w:w="80" w:type="dxa"/>
              <w:end w:w="120" w:type="dxa"/>
            </w:tcMar>
            <w:shd w:fill="12392F"/>
          </w:tcPr>
          <w:p>
            <w:pPr>
              <w:spacing w:after="0" w:line="252" w:lineRule="auto"/>
            </w:pPr>
            <w:r>
              <w:rPr>
                <w:rFonts w:ascii="Aptos" w:hAnsi="Aptos"/>
                <w:b/>
                <w:i w:val="0"/>
                <w:color w:val="FFFFFF"/>
                <w:sz w:val="17"/>
              </w:rPr>
              <w:t>Category</w:t>
            </w:r>
          </w:p>
        </w:tc>
        <w:tc>
          <w:tcPr>
            <w:tcW w:type="dxa" w:w="5256"/>
            <w:vAlign w:val="center"/>
            <w:tcW w:w="5256" w:type="dxa"/>
            <w:tcMar>
              <w:top w:w="80" w:type="dxa"/>
              <w:start w:w="120" w:type="dxa"/>
              <w:bottom w:w="80" w:type="dxa"/>
              <w:end w:w="120" w:type="dxa"/>
            </w:tcMar>
            <w:shd w:fill="12392F"/>
          </w:tcPr>
          <w:p>
            <w:pPr>
              <w:spacing w:after="0" w:line="252" w:lineRule="auto"/>
            </w:pPr>
            <w:r>
              <w:rPr>
                <w:rFonts w:ascii="Aptos" w:hAnsi="Aptos"/>
                <w:b/>
                <w:i w:val="0"/>
                <w:color w:val="FFFFFF"/>
                <w:sz w:val="17"/>
              </w:rPr>
              <w:t>Checks</w:t>
            </w:r>
          </w:p>
        </w:tc>
        <w:tc>
          <w:tcPr>
            <w:tcW w:type="dxa" w:w="2448"/>
            <w:vAlign w:val="center"/>
            <w:tcW w:w="2448" w:type="dxa"/>
            <w:tcMar>
              <w:top w:w="80" w:type="dxa"/>
              <w:start w:w="120" w:type="dxa"/>
              <w:bottom w:w="80" w:type="dxa"/>
              <w:end w:w="120" w:type="dxa"/>
            </w:tcMar>
            <w:shd w:fill="12392F"/>
          </w:tcPr>
          <w:p>
            <w:pPr>
              <w:spacing w:after="0" w:line="252" w:lineRule="auto"/>
            </w:pPr>
            <w:r>
              <w:rPr>
                <w:rFonts w:ascii="Aptos" w:hAnsi="Aptos"/>
                <w:b/>
                <w:i w:val="0"/>
                <w:color w:val="FFFFFF"/>
                <w:sz w:val="17"/>
              </w:rPr>
              <w:t>Default intensity</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Reachability</w:t>
            </w:r>
          </w:p>
        </w:tc>
        <w:tc>
          <w:tcPr>
            <w:tcW w:type="dxa" w:w="5256"/>
            <w:vAlign w:val="center"/>
            <w:tcW w:w="5256" w:type="dxa"/>
            <w:tcMar>
              <w:top w:w="80" w:type="dxa"/>
              <w:start w:w="120" w:type="dxa"/>
              <w:bottom w:w="80" w:type="dxa"/>
              <w:end w:w="120" w:type="dxa"/>
            </w:tcMar>
            <w:shd w:fill="FFFFFF"/>
          </w:tcPr>
          <w:p>
            <w:pPr>
              <w:spacing w:after="0" w:line="252" w:lineRule="auto"/>
            </w:pPr>
            <w:r>
              <w:rPr>
                <w:rFonts w:ascii="Aptos" w:hAnsi="Aptos"/>
                <w:b w:val="0"/>
                <w:i w:val="0"/>
                <w:color w:val="10221C"/>
                <w:sz w:val="17"/>
              </w:rPr>
              <w:t>Status, redirect chain, latency and uptime.</w:t>
            </w:r>
          </w:p>
        </w:tc>
        <w:tc>
          <w:tcPr>
            <w:tcW w:type="dxa" w:w="2448"/>
            <w:vAlign w:val="center"/>
            <w:tcW w:w="2448" w:type="dxa"/>
            <w:tcMar>
              <w:top w:w="80" w:type="dxa"/>
              <w:start w:w="120" w:type="dxa"/>
              <w:bottom w:w="80" w:type="dxa"/>
              <w:end w:w="120" w:type="dxa"/>
            </w:tcMar>
            <w:shd w:fill="FFFFFF"/>
          </w:tcPr>
          <w:p>
            <w:pPr>
              <w:spacing w:after="0" w:line="252" w:lineRule="auto"/>
            </w:pPr>
            <w:r>
              <w:rPr>
                <w:rFonts w:ascii="Aptos" w:hAnsi="Aptos"/>
                <w:b w:val="0"/>
                <w:i w:val="0"/>
                <w:color w:val="10221C"/>
                <w:sz w:val="17"/>
              </w:rPr>
              <w:t>One bounded request plus validation.</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TLS</w:t>
            </w:r>
          </w:p>
        </w:tc>
        <w:tc>
          <w:tcPr>
            <w:tcW w:type="dxa" w:w="5256"/>
            <w:vAlign w:val="center"/>
            <w:tcW w:w="5256" w:type="dxa"/>
            <w:tcMar>
              <w:top w:w="80" w:type="dxa"/>
              <w:start w:w="120" w:type="dxa"/>
              <w:bottom w:w="80" w:type="dxa"/>
              <w:end w:w="120" w:type="dxa"/>
            </w:tcMar>
            <w:shd w:fill="F3F5F1"/>
          </w:tcPr>
          <w:p>
            <w:pPr>
              <w:spacing w:after="0" w:line="252" w:lineRule="auto"/>
            </w:pPr>
            <w:r>
              <w:rPr>
                <w:rFonts w:ascii="Aptos" w:hAnsi="Aptos"/>
                <w:b w:val="0"/>
                <w:i w:val="0"/>
                <w:color w:val="10221C"/>
                <w:sz w:val="17"/>
              </w:rPr>
              <w:t>Trust chain, protocol, hostname, expiry and selected configuration.</w:t>
            </w:r>
          </w:p>
        </w:tc>
        <w:tc>
          <w:tcPr>
            <w:tcW w:type="dxa" w:w="2448"/>
            <w:vAlign w:val="center"/>
            <w:tcW w:w="2448" w:type="dxa"/>
            <w:tcMar>
              <w:top w:w="80" w:type="dxa"/>
              <w:start w:w="120" w:type="dxa"/>
              <w:bottom w:w="80" w:type="dxa"/>
              <w:end w:w="120" w:type="dxa"/>
            </w:tcMar>
            <w:shd w:fill="F3F5F1"/>
          </w:tcPr>
          <w:p>
            <w:pPr>
              <w:spacing w:after="0" w:line="252" w:lineRule="auto"/>
            </w:pPr>
            <w:r>
              <w:rPr>
                <w:rFonts w:ascii="Aptos" w:hAnsi="Aptos"/>
                <w:b w:val="0"/>
                <w:i w:val="0"/>
                <w:color w:val="10221C"/>
                <w:sz w:val="17"/>
              </w:rPr>
              <w:t>One handshake; no exhaustive cipher flood.</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HTTP</w:t>
            </w:r>
          </w:p>
        </w:tc>
        <w:tc>
          <w:tcPr>
            <w:tcW w:type="dxa" w:w="5256"/>
            <w:vAlign w:val="center"/>
            <w:tcW w:w="5256" w:type="dxa"/>
            <w:tcMar>
              <w:top w:w="80" w:type="dxa"/>
              <w:start w:w="120" w:type="dxa"/>
              <w:bottom w:w="80" w:type="dxa"/>
              <w:end w:w="120" w:type="dxa"/>
            </w:tcMar>
            <w:shd w:fill="FFFFFF"/>
          </w:tcPr>
          <w:p>
            <w:pPr>
              <w:spacing w:after="0" w:line="252" w:lineRule="auto"/>
            </w:pPr>
            <w:r>
              <w:rPr>
                <w:rFonts w:ascii="Aptos" w:hAnsi="Aptos"/>
                <w:b w:val="0"/>
                <w:i w:val="0"/>
                <w:color w:val="10221C"/>
                <w:sz w:val="17"/>
              </w:rPr>
              <w:t>Security headers, cookies, server disclosure, mixed-content indicators.</w:t>
            </w:r>
          </w:p>
        </w:tc>
        <w:tc>
          <w:tcPr>
            <w:tcW w:type="dxa" w:w="2448"/>
            <w:vAlign w:val="center"/>
            <w:tcW w:w="2448" w:type="dxa"/>
            <w:tcMar>
              <w:top w:w="80" w:type="dxa"/>
              <w:start w:w="120" w:type="dxa"/>
              <w:bottom w:w="80" w:type="dxa"/>
              <w:end w:w="120" w:type="dxa"/>
            </w:tcMar>
            <w:shd w:fill="FFFFFF"/>
          </w:tcPr>
          <w:p>
            <w:pPr>
              <w:spacing w:after="0" w:line="252" w:lineRule="auto"/>
            </w:pPr>
            <w:r>
              <w:rPr>
                <w:rFonts w:ascii="Aptos" w:hAnsi="Aptos"/>
                <w:b w:val="0"/>
                <w:i w:val="0"/>
                <w:color w:val="10221C"/>
                <w:sz w:val="17"/>
              </w:rPr>
              <w:t>HEAD/GET with response-size ceiling.</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DNS</w:t>
            </w:r>
          </w:p>
        </w:tc>
        <w:tc>
          <w:tcPr>
            <w:tcW w:type="dxa" w:w="5256"/>
            <w:vAlign w:val="center"/>
            <w:tcW w:w="5256" w:type="dxa"/>
            <w:tcMar>
              <w:top w:w="80" w:type="dxa"/>
              <w:start w:w="120" w:type="dxa"/>
              <w:bottom w:w="80" w:type="dxa"/>
              <w:end w:w="120" w:type="dxa"/>
            </w:tcMar>
            <w:shd w:fill="F3F5F1"/>
          </w:tcPr>
          <w:p>
            <w:pPr>
              <w:spacing w:after="0" w:line="252" w:lineRule="auto"/>
            </w:pPr>
            <w:r>
              <w:rPr>
                <w:rFonts w:ascii="Aptos" w:hAnsi="Aptos"/>
                <w:b w:val="0"/>
                <w:i w:val="0"/>
                <w:color w:val="10221C"/>
                <w:sz w:val="17"/>
              </w:rPr>
              <w:t>A/AAAA, CNAME, NS, MX, CAA and changes.</w:t>
            </w:r>
          </w:p>
        </w:tc>
        <w:tc>
          <w:tcPr>
            <w:tcW w:type="dxa" w:w="2448"/>
            <w:vAlign w:val="center"/>
            <w:tcW w:w="2448" w:type="dxa"/>
            <w:tcMar>
              <w:top w:w="80" w:type="dxa"/>
              <w:start w:w="120" w:type="dxa"/>
              <w:bottom w:w="80" w:type="dxa"/>
              <w:end w:w="120" w:type="dxa"/>
            </w:tcMar>
            <w:shd w:fill="F3F5F1"/>
          </w:tcPr>
          <w:p>
            <w:pPr>
              <w:spacing w:after="0" w:line="252" w:lineRule="auto"/>
            </w:pPr>
            <w:r>
              <w:rPr>
                <w:rFonts w:ascii="Aptos" w:hAnsi="Aptos"/>
                <w:b w:val="0"/>
                <w:i w:val="0"/>
                <w:color w:val="10221C"/>
                <w:sz w:val="17"/>
              </w:rPr>
              <w:t>Cached, rate-limited lookups.</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Email</w:t>
            </w:r>
          </w:p>
        </w:tc>
        <w:tc>
          <w:tcPr>
            <w:tcW w:type="dxa" w:w="5256"/>
            <w:vAlign w:val="center"/>
            <w:tcW w:w="5256" w:type="dxa"/>
            <w:tcMar>
              <w:top w:w="80" w:type="dxa"/>
              <w:start w:w="120" w:type="dxa"/>
              <w:bottom w:w="80" w:type="dxa"/>
              <w:end w:w="120" w:type="dxa"/>
            </w:tcMar>
            <w:shd w:fill="FFFFFF"/>
          </w:tcPr>
          <w:p>
            <w:pPr>
              <w:spacing w:after="0" w:line="252" w:lineRule="auto"/>
            </w:pPr>
            <w:r>
              <w:rPr>
                <w:rFonts w:ascii="Aptos" w:hAnsi="Aptos"/>
                <w:b w:val="0"/>
                <w:i w:val="0"/>
                <w:color w:val="10221C"/>
                <w:sz w:val="17"/>
              </w:rPr>
              <w:t>SPF, DMARC and DKIM-selector workflow.</w:t>
            </w:r>
          </w:p>
        </w:tc>
        <w:tc>
          <w:tcPr>
            <w:tcW w:type="dxa" w:w="2448"/>
            <w:vAlign w:val="center"/>
            <w:tcW w:w="2448" w:type="dxa"/>
            <w:tcMar>
              <w:top w:w="80" w:type="dxa"/>
              <w:start w:w="120" w:type="dxa"/>
              <w:bottom w:w="80" w:type="dxa"/>
              <w:end w:w="120" w:type="dxa"/>
            </w:tcMar>
            <w:shd w:fill="FFFFFF"/>
          </w:tcPr>
          <w:p>
            <w:pPr>
              <w:spacing w:after="0" w:line="252" w:lineRule="auto"/>
            </w:pPr>
            <w:r>
              <w:rPr>
                <w:rFonts w:ascii="Aptos" w:hAnsi="Aptos"/>
                <w:b w:val="0"/>
                <w:i w:val="0"/>
                <w:color w:val="10221C"/>
                <w:sz w:val="17"/>
              </w:rPr>
              <w:t>Passive DNS checks.</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Content</w:t>
            </w:r>
          </w:p>
        </w:tc>
        <w:tc>
          <w:tcPr>
            <w:tcW w:type="dxa" w:w="5256"/>
            <w:vAlign w:val="center"/>
            <w:tcW w:w="5256" w:type="dxa"/>
            <w:tcMar>
              <w:top w:w="80" w:type="dxa"/>
              <w:start w:w="120" w:type="dxa"/>
              <w:bottom w:w="80" w:type="dxa"/>
              <w:end w:w="120" w:type="dxa"/>
            </w:tcMar>
            <w:shd w:fill="F3F5F1"/>
          </w:tcPr>
          <w:p>
            <w:pPr>
              <w:spacing w:after="0" w:line="252" w:lineRule="auto"/>
            </w:pPr>
            <w:r>
              <w:rPr>
                <w:rFonts w:ascii="Aptos" w:hAnsi="Aptos"/>
                <w:b w:val="0"/>
                <w:i w:val="0"/>
                <w:color w:val="10221C"/>
                <w:sz w:val="17"/>
              </w:rPr>
              <w:t>Unexpected change hash and approved defacement indicators.</w:t>
            </w:r>
          </w:p>
        </w:tc>
        <w:tc>
          <w:tcPr>
            <w:tcW w:type="dxa" w:w="2448"/>
            <w:vAlign w:val="center"/>
            <w:tcW w:w="2448" w:type="dxa"/>
            <w:tcMar>
              <w:top w:w="80" w:type="dxa"/>
              <w:start w:w="120" w:type="dxa"/>
              <w:bottom w:w="80" w:type="dxa"/>
              <w:end w:w="120" w:type="dxa"/>
            </w:tcMar>
            <w:shd w:fill="F3F5F1"/>
          </w:tcPr>
          <w:p>
            <w:pPr>
              <w:spacing w:after="0" w:line="252" w:lineRule="auto"/>
            </w:pPr>
            <w:r>
              <w:rPr>
                <w:rFonts w:ascii="Aptos" w:hAnsi="Aptos"/>
                <w:b w:val="0"/>
                <w:i w:val="0"/>
                <w:color w:val="10221C"/>
                <w:sz w:val="17"/>
              </w:rPr>
              <w:t>Small bounded sample; no personal content retention.</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Domain</w:t>
            </w:r>
          </w:p>
        </w:tc>
        <w:tc>
          <w:tcPr>
            <w:tcW w:type="dxa" w:w="5256"/>
            <w:vAlign w:val="center"/>
            <w:tcW w:w="5256" w:type="dxa"/>
            <w:tcMar>
              <w:top w:w="80" w:type="dxa"/>
              <w:start w:w="120" w:type="dxa"/>
              <w:bottom w:w="80" w:type="dxa"/>
              <w:end w:w="120" w:type="dxa"/>
            </w:tcMar>
            <w:shd w:fill="FFFFFF"/>
          </w:tcPr>
          <w:p>
            <w:pPr>
              <w:spacing w:after="0" w:line="252" w:lineRule="auto"/>
            </w:pPr>
            <w:r>
              <w:rPr>
                <w:rFonts w:ascii="Aptos" w:hAnsi="Aptos"/>
                <w:b w:val="0"/>
                <w:i w:val="0"/>
                <w:color w:val="10221C"/>
                <w:sz w:val="17"/>
              </w:rPr>
              <w:t>Expiry where registry data permits; nameserver change.</w:t>
            </w:r>
          </w:p>
        </w:tc>
        <w:tc>
          <w:tcPr>
            <w:tcW w:type="dxa" w:w="2448"/>
            <w:vAlign w:val="center"/>
            <w:tcW w:w="2448" w:type="dxa"/>
            <w:tcMar>
              <w:top w:w="80" w:type="dxa"/>
              <w:start w:w="120" w:type="dxa"/>
              <w:bottom w:w="80" w:type="dxa"/>
              <w:end w:w="120" w:type="dxa"/>
            </w:tcMar>
            <w:shd w:fill="FFFFFF"/>
          </w:tcPr>
          <w:p>
            <w:pPr>
              <w:spacing w:after="0" w:line="252" w:lineRule="auto"/>
            </w:pPr>
            <w:r>
              <w:rPr>
                <w:rFonts w:ascii="Aptos" w:hAnsi="Aptos"/>
                <w:b w:val="0"/>
                <w:i w:val="0"/>
                <w:color w:val="10221C"/>
                <w:sz w:val="17"/>
              </w:rPr>
              <w:t>Passive registry/RDAP data.</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Technology</w:t>
            </w:r>
          </w:p>
        </w:tc>
        <w:tc>
          <w:tcPr>
            <w:tcW w:type="dxa" w:w="5256"/>
            <w:vAlign w:val="center"/>
            <w:tcW w:w="5256" w:type="dxa"/>
            <w:tcMar>
              <w:top w:w="80" w:type="dxa"/>
              <w:start w:w="120" w:type="dxa"/>
              <w:bottom w:w="80" w:type="dxa"/>
              <w:end w:w="120" w:type="dxa"/>
            </w:tcMar>
            <w:shd w:fill="F3F5F1"/>
          </w:tcPr>
          <w:p>
            <w:pPr>
              <w:spacing w:after="0" w:line="252" w:lineRule="auto"/>
            </w:pPr>
            <w:r>
              <w:rPr>
                <w:rFonts w:ascii="Aptos" w:hAnsi="Aptos"/>
                <w:b w:val="0"/>
                <w:i w:val="0"/>
                <w:color w:val="10221C"/>
                <w:sz w:val="17"/>
              </w:rPr>
              <w:t>Conservative public fingerprinting with confidence.</w:t>
            </w:r>
          </w:p>
        </w:tc>
        <w:tc>
          <w:tcPr>
            <w:tcW w:type="dxa" w:w="2448"/>
            <w:vAlign w:val="center"/>
            <w:tcW w:w="2448" w:type="dxa"/>
            <w:tcMar>
              <w:top w:w="80" w:type="dxa"/>
              <w:start w:w="120" w:type="dxa"/>
              <w:bottom w:w="80" w:type="dxa"/>
              <w:end w:w="120" w:type="dxa"/>
            </w:tcMar>
            <w:shd w:fill="F3F5F1"/>
          </w:tcPr>
          <w:p>
            <w:pPr>
              <w:spacing w:after="0" w:line="252" w:lineRule="auto"/>
            </w:pPr>
            <w:r>
              <w:rPr>
                <w:rFonts w:ascii="Aptos" w:hAnsi="Aptos"/>
                <w:b w:val="0"/>
                <w:i w:val="0"/>
                <w:color w:val="10221C"/>
                <w:sz w:val="17"/>
              </w:rPr>
              <w:t>No intrusive probing.</w:t>
            </w:r>
          </w:p>
        </w:tc>
      </w:tr>
    </w:tbl>
    <w:p>
      <w:pPr>
        <w:spacing w:after="40"/>
      </w:pPr>
    </w:p>
    <w:p>
      <w:pPr>
        <w:pStyle w:val="Heading2"/>
      </w:pPr>
      <w:r>
        <w:t>7.2 Finding contract</w:t>
      </w:r>
    </w:p>
    <w:p>
      <w:r>
        <w:rPr>
          <w:rFonts w:ascii="Aptos" w:hAnsi="Aptos"/>
          <w:b w:val="0"/>
          <w:i w:val="0"/>
          <w:color w:val="10221C"/>
          <w:sz w:val="22"/>
        </w:rPr>
        <w:t>Every rule produces: stable rule ID; rule version; asset; observed time; severity; confidence; evidence; business impact; remediation; verification method; standards mappings; and false-positive feedback. Findings are deduplicated across scans and transition through Open, Acknowledged, In Progress, Resolved, Accepted Risk, False Positive and Reopened.</w:t>
      </w:r>
    </w:p>
    <w:p>
      <w:pPr>
        <w:pStyle w:val="Heading2"/>
      </w:pPr>
      <w:r>
        <w:t>7.3 Scoring</w:t>
      </w:r>
    </w:p>
    <w:p>
      <w:r>
        <w:rPr>
          <w:rFonts w:ascii="Aptos" w:hAnsi="Aptos"/>
          <w:b w:val="0"/>
          <w:i w:val="0"/>
          <w:color w:val="10221C"/>
          <w:sz w:val="22"/>
        </w:rPr>
        <w:t>The score is a transparent weighted posture indicator, not a security guarantee. Critical findings cap the score; confidence affects presentation, not hidden multiplication. Rule weights and scoring versions are public. Historical scores remain tied to the scoring version used at the time.</w:t>
      </w:r>
    </w:p>
    <w:p>
      <w:pPr>
        <w:pStyle w:val="Heading2"/>
      </w:pPr>
      <w:r>
        <w:t>7.4 False-positive discipline</w:t>
      </w:r>
    </w:p>
    <w:p>
      <w:pPr>
        <w:pStyle w:val="ListBullet"/>
      </w:pPr>
      <w:r>
        <w:rPr>
          <w:rFonts w:ascii="Aptos" w:hAnsi="Aptos"/>
          <w:b w:val="0"/>
          <w:i w:val="0"/>
          <w:color w:val="10221C"/>
          <w:sz w:val="22"/>
        </w:rPr>
        <w:t>A rule needs fixtures for positive, negative and ambiguous states before release.</w:t>
      </w:r>
    </w:p>
    <w:p>
      <w:pPr>
        <w:pStyle w:val="ListBullet"/>
      </w:pPr>
      <w:r>
        <w:rPr>
          <w:rFonts w:ascii="Aptos" w:hAnsi="Aptos"/>
          <w:b w:val="0"/>
          <w:i w:val="0"/>
          <w:color w:val="10221C"/>
          <w:sz w:val="22"/>
        </w:rPr>
        <w:t>Low-confidence signals are labeled informational until corroborated.</w:t>
      </w:r>
    </w:p>
    <w:p>
      <w:pPr>
        <w:pStyle w:val="ListBullet"/>
      </w:pPr>
      <w:r>
        <w:rPr>
          <w:rFonts w:ascii="Aptos" w:hAnsi="Aptos"/>
          <w:b w:val="0"/>
          <w:i w:val="0"/>
          <w:color w:val="10221C"/>
          <w:sz w:val="22"/>
        </w:rPr>
        <w:t>Customers can dispute findings; dispositions feed rule review, not automatic suppression across tenants.</w:t>
      </w:r>
    </w:p>
    <w:p>
      <w:pPr>
        <w:pStyle w:val="ListBullet"/>
      </w:pPr>
      <w:r>
        <w:rPr>
          <w:rFonts w:ascii="Aptos" w:hAnsi="Aptos"/>
          <w:b w:val="0"/>
          <w:i w:val="0"/>
          <w:color w:val="10221C"/>
          <w:sz w:val="22"/>
        </w:rPr>
        <w:t>Rule quality dashboard tracks confirmation rate, disputes and regression failures.</w:t>
      </w:r>
    </w:p>
    <w:p>
      <w:pPr>
        <w:pStyle w:val="Heading2"/>
      </w:pPr>
      <w:r>
        <w:t>7.5 AI-powered real-time intelligence</w:t>
      </w:r>
    </w:p>
    <w:p>
      <w:r>
        <w:rPr>
          <w:rFonts w:ascii="Aptos" w:hAnsi="Aptos"/>
          <w:b w:val="0"/>
          <w:i w:val="0"/>
          <w:color w:val="10221C"/>
          <w:sz w:val="22"/>
        </w:rPr>
        <w:t>KingaWeb’s intelligence layer turns trusted observations into timely decisions. “Real-time” means event-driven processing immediately after an authorized change, scan result, provider signal or customer action; it does not mean intercepting private network traffic or continuously attacking targets. Deterministic rules remain the source of truth for findings. AI correlates, explains, prioritizes and assists.</w:t>
      </w:r>
    </w:p>
    <w:p>
      <w:pPr>
        <w:pStyle w:val="Heading3"/>
      </w:pPr>
      <w:r>
        <w:t>7.5.1 Initial AI capabilities</w:t>
      </w:r>
    </w:p>
    <w:tbl>
      <w:tblPr>
        <w:tblW w:type="auto" w:w="0"/>
        <w:jc w:val="left"/>
        <w:tblLayout w:type="fixed"/>
        <w:tblLook w:firstColumn="1" w:firstRow="1" w:lastColumn="0" w:lastRow="0" w:noHBand="0" w:noVBand="1" w:val="04A0"/>
        <w:tblW w:w="9360" w:type="dxa"/>
        <w:tblInd w:w="120" w:type="dxa"/>
      </w:tblPr>
      <w:tblGrid>
        <w:gridCol w:w="1944"/>
        <w:gridCol w:w="4680"/>
        <w:gridCol w:w="2736"/>
      </w:tblGrid>
      <w:tr>
        <w:trPr>
          <w:tblHeader w:val="true"/>
        </w:trPr>
        <w:tc>
          <w:tcPr>
            <w:tcW w:type="dxa" w:w="1944"/>
            <w:vAlign w:val="center"/>
            <w:tcW w:w="1944" w:type="dxa"/>
            <w:tcMar>
              <w:top w:w="55" w:type="dxa"/>
              <w:start w:w="120" w:type="dxa"/>
              <w:bottom w:w="55" w:type="dxa"/>
              <w:end w:w="120" w:type="dxa"/>
            </w:tcMar>
            <w:shd w:fill="12392F"/>
          </w:tcPr>
          <w:p>
            <w:pPr>
              <w:spacing w:after="0" w:line="252" w:lineRule="auto"/>
            </w:pPr>
            <w:r>
              <w:rPr>
                <w:rFonts w:ascii="Aptos" w:hAnsi="Aptos"/>
                <w:b/>
                <w:i w:val="0"/>
                <w:color w:val="FFFFFF"/>
                <w:sz w:val="16"/>
              </w:rPr>
              <w:t>Capability</w:t>
            </w:r>
          </w:p>
        </w:tc>
        <w:tc>
          <w:tcPr>
            <w:tcW w:type="dxa" w:w="4680"/>
            <w:vAlign w:val="center"/>
            <w:tcW w:w="4680" w:type="dxa"/>
            <w:tcMar>
              <w:top w:w="55" w:type="dxa"/>
              <w:start w:w="120" w:type="dxa"/>
              <w:bottom w:w="55" w:type="dxa"/>
              <w:end w:w="120" w:type="dxa"/>
            </w:tcMar>
            <w:shd w:fill="12392F"/>
          </w:tcPr>
          <w:p>
            <w:pPr>
              <w:spacing w:after="0" w:line="252" w:lineRule="auto"/>
            </w:pPr>
            <w:r>
              <w:rPr>
                <w:rFonts w:ascii="Aptos" w:hAnsi="Aptos"/>
                <w:b/>
                <w:i w:val="0"/>
                <w:color w:val="FFFFFF"/>
                <w:sz w:val="16"/>
              </w:rPr>
              <w:t>Customer value</w:t>
            </w:r>
          </w:p>
        </w:tc>
        <w:tc>
          <w:tcPr>
            <w:tcW w:type="dxa" w:w="2736"/>
            <w:vAlign w:val="center"/>
            <w:tcW w:w="2736" w:type="dxa"/>
            <w:tcMar>
              <w:top w:w="55" w:type="dxa"/>
              <w:start w:w="120" w:type="dxa"/>
              <w:bottom w:w="55" w:type="dxa"/>
              <w:end w:w="120" w:type="dxa"/>
            </w:tcMar>
            <w:shd w:fill="12392F"/>
          </w:tcPr>
          <w:p>
            <w:pPr>
              <w:spacing w:after="0" w:line="252" w:lineRule="auto"/>
            </w:pPr>
            <w:r>
              <w:rPr>
                <w:rFonts w:ascii="Aptos" w:hAnsi="Aptos"/>
                <w:b/>
                <w:i w:val="0"/>
                <w:color w:val="FFFFFF"/>
                <w:sz w:val="16"/>
              </w:rPr>
              <w:t>Required guardrail</w:t>
            </w:r>
          </w:p>
        </w:tc>
      </w:tr>
      <w:tr>
        <w:tc>
          <w:tcPr>
            <w:tcW w:type="dxa" w:w="1944"/>
            <w:vAlign w:val="center"/>
            <w:tcW w:w="1944" w:type="dxa"/>
            <w:tcMar>
              <w:top w:w="55" w:type="dxa"/>
              <w:start w:w="120" w:type="dxa"/>
              <w:bottom w:w="55" w:type="dxa"/>
              <w:end w:w="120" w:type="dxa"/>
            </w:tcMar>
            <w:shd w:fill="FFFFFF"/>
          </w:tcPr>
          <w:p>
            <w:pPr>
              <w:spacing w:after="0" w:line="252" w:lineRule="auto"/>
            </w:pPr>
            <w:r>
              <w:rPr>
                <w:rFonts w:ascii="Aptos" w:hAnsi="Aptos"/>
                <w:b w:val="0"/>
                <w:i w:val="0"/>
                <w:color w:val="10221C"/>
                <w:sz w:val="16"/>
              </w:rPr>
              <w:t>Risk Copilot</w:t>
            </w:r>
          </w:p>
        </w:tc>
        <w:tc>
          <w:tcPr>
            <w:tcW w:type="dxa" w:w="4680"/>
            <w:vAlign w:val="center"/>
            <w:tcW w:w="4680" w:type="dxa"/>
            <w:tcMar>
              <w:top w:w="55" w:type="dxa"/>
              <w:start w:w="120" w:type="dxa"/>
              <w:bottom w:w="55" w:type="dxa"/>
              <w:end w:w="120" w:type="dxa"/>
            </w:tcMar>
            <w:shd w:fill="FFFFFF"/>
          </w:tcPr>
          <w:p>
            <w:pPr>
              <w:spacing w:after="0" w:line="252" w:lineRule="auto"/>
            </w:pPr>
            <w:r>
              <w:rPr>
                <w:rFonts w:ascii="Aptos" w:hAnsi="Aptos"/>
                <w:b w:val="0"/>
                <w:i w:val="0"/>
                <w:color w:val="10221C"/>
                <w:sz w:val="16"/>
              </w:rPr>
              <w:t>Answers questions about the customer’s own assets, evidence and fixes in English or Kiswahili.</w:t>
            </w:r>
          </w:p>
        </w:tc>
        <w:tc>
          <w:tcPr>
            <w:tcW w:type="dxa" w:w="2736"/>
            <w:vAlign w:val="center"/>
            <w:tcW w:w="2736" w:type="dxa"/>
            <w:tcMar>
              <w:top w:w="55" w:type="dxa"/>
              <w:start w:w="120" w:type="dxa"/>
              <w:bottom w:w="55" w:type="dxa"/>
              <w:end w:w="120" w:type="dxa"/>
            </w:tcMar>
            <w:shd w:fill="FFFFFF"/>
          </w:tcPr>
          <w:p>
            <w:pPr>
              <w:spacing w:after="0" w:line="252" w:lineRule="auto"/>
            </w:pPr>
            <w:r>
              <w:rPr>
                <w:rFonts w:ascii="Aptos" w:hAnsi="Aptos"/>
                <w:b w:val="0"/>
                <w:i w:val="0"/>
                <w:color w:val="10221C"/>
                <w:sz w:val="16"/>
              </w:rPr>
              <w:t>Retrieval only from authorized workspace data; citations to evidence.</w:t>
            </w:r>
          </w:p>
        </w:tc>
      </w:tr>
      <w:tr>
        <w:tc>
          <w:tcPr>
            <w:tcW w:type="dxa" w:w="1944"/>
            <w:vAlign w:val="center"/>
            <w:tcW w:w="1944" w:type="dxa"/>
            <w:tcMar>
              <w:top w:w="55" w:type="dxa"/>
              <w:start w:w="120" w:type="dxa"/>
              <w:bottom w:w="55" w:type="dxa"/>
              <w:end w:w="120" w:type="dxa"/>
            </w:tcMar>
            <w:shd w:fill="F3F5F1"/>
          </w:tcPr>
          <w:p>
            <w:pPr>
              <w:spacing w:after="0" w:line="252" w:lineRule="auto"/>
            </w:pPr>
            <w:r>
              <w:rPr>
                <w:rFonts w:ascii="Aptos" w:hAnsi="Aptos"/>
                <w:b w:val="0"/>
                <w:i w:val="0"/>
                <w:color w:val="10221C"/>
                <w:sz w:val="16"/>
              </w:rPr>
              <w:t>Change intelligence</w:t>
            </w:r>
          </w:p>
        </w:tc>
        <w:tc>
          <w:tcPr>
            <w:tcW w:type="dxa" w:w="4680"/>
            <w:vAlign w:val="center"/>
            <w:tcW w:w="4680" w:type="dxa"/>
            <w:tcMar>
              <w:top w:w="55" w:type="dxa"/>
              <w:start w:w="120" w:type="dxa"/>
              <w:bottom w:w="55" w:type="dxa"/>
              <w:end w:w="120" w:type="dxa"/>
            </w:tcMar>
            <w:shd w:fill="F3F5F1"/>
          </w:tcPr>
          <w:p>
            <w:pPr>
              <w:spacing w:after="0" w:line="252" w:lineRule="auto"/>
            </w:pPr>
            <w:r>
              <w:rPr>
                <w:rFonts w:ascii="Aptos" w:hAnsi="Aptos"/>
                <w:b w:val="0"/>
                <w:i w:val="0"/>
                <w:color w:val="10221C"/>
                <w:sz w:val="16"/>
              </w:rPr>
              <w:t>Summarizes what changed across TLS, DNS, headers, technology and content signals.</w:t>
            </w:r>
          </w:p>
        </w:tc>
        <w:tc>
          <w:tcPr>
            <w:tcW w:type="dxa" w:w="2736"/>
            <w:vAlign w:val="center"/>
            <w:tcW w:w="2736" w:type="dxa"/>
            <w:tcMar>
              <w:top w:w="55" w:type="dxa"/>
              <w:start w:w="120" w:type="dxa"/>
              <w:bottom w:w="55" w:type="dxa"/>
              <w:end w:w="120" w:type="dxa"/>
            </w:tcMar>
            <w:shd w:fill="F3F5F1"/>
          </w:tcPr>
          <w:p>
            <w:pPr>
              <w:spacing w:after="0" w:line="252" w:lineRule="auto"/>
            </w:pPr>
            <w:r>
              <w:rPr>
                <w:rFonts w:ascii="Aptos" w:hAnsi="Aptos"/>
                <w:b w:val="0"/>
                <w:i w:val="0"/>
                <w:color w:val="10221C"/>
                <w:sz w:val="16"/>
              </w:rPr>
              <w:t>No claim beyond observed diffs; confidence displayed.</w:t>
            </w:r>
          </w:p>
        </w:tc>
      </w:tr>
      <w:tr>
        <w:tc>
          <w:tcPr>
            <w:tcW w:type="dxa" w:w="1944"/>
            <w:vAlign w:val="center"/>
            <w:tcW w:w="1944" w:type="dxa"/>
            <w:tcMar>
              <w:top w:w="55" w:type="dxa"/>
              <w:start w:w="120" w:type="dxa"/>
              <w:bottom w:w="55" w:type="dxa"/>
              <w:end w:w="120" w:type="dxa"/>
            </w:tcMar>
            <w:shd w:fill="FFFFFF"/>
          </w:tcPr>
          <w:p>
            <w:pPr>
              <w:spacing w:after="0" w:line="252" w:lineRule="auto"/>
            </w:pPr>
            <w:r>
              <w:rPr>
                <w:rFonts w:ascii="Aptos" w:hAnsi="Aptos"/>
                <w:b w:val="0"/>
                <w:i w:val="0"/>
                <w:color w:val="10221C"/>
                <w:sz w:val="16"/>
              </w:rPr>
              <w:t>Alert prioritization</w:t>
            </w:r>
          </w:p>
        </w:tc>
        <w:tc>
          <w:tcPr>
            <w:tcW w:type="dxa" w:w="4680"/>
            <w:vAlign w:val="center"/>
            <w:tcW w:w="4680" w:type="dxa"/>
            <w:tcMar>
              <w:top w:w="55" w:type="dxa"/>
              <w:start w:w="120" w:type="dxa"/>
              <w:bottom w:w="55" w:type="dxa"/>
              <w:end w:w="120" w:type="dxa"/>
            </w:tcMar>
            <w:shd w:fill="FFFFFF"/>
          </w:tcPr>
          <w:p>
            <w:pPr>
              <w:spacing w:after="0" w:line="252" w:lineRule="auto"/>
            </w:pPr>
            <w:r>
              <w:rPr>
                <w:rFonts w:ascii="Aptos" w:hAnsi="Aptos"/>
                <w:b w:val="0"/>
                <w:i w:val="0"/>
                <w:color w:val="10221C"/>
                <w:sz w:val="16"/>
              </w:rPr>
              <w:t>Groups related events, suppresses duplicates and recommends urgency using business context.</w:t>
            </w:r>
          </w:p>
        </w:tc>
        <w:tc>
          <w:tcPr>
            <w:tcW w:type="dxa" w:w="2736"/>
            <w:vAlign w:val="center"/>
            <w:tcW w:w="2736" w:type="dxa"/>
            <w:tcMar>
              <w:top w:w="55" w:type="dxa"/>
              <w:start w:w="120" w:type="dxa"/>
              <w:bottom w:w="55" w:type="dxa"/>
              <w:end w:w="120" w:type="dxa"/>
            </w:tcMar>
            <w:shd w:fill="FFFFFF"/>
          </w:tcPr>
          <w:p>
            <w:pPr>
              <w:spacing w:after="0" w:line="252" w:lineRule="auto"/>
            </w:pPr>
            <w:r>
              <w:rPr>
                <w:rFonts w:ascii="Aptos" w:hAnsi="Aptos"/>
                <w:b w:val="0"/>
                <w:i w:val="0"/>
                <w:color w:val="10221C"/>
                <w:sz w:val="16"/>
              </w:rPr>
              <w:t>Deterministic severity remains visible; user can override.</w:t>
            </w:r>
          </w:p>
        </w:tc>
      </w:tr>
      <w:tr>
        <w:tc>
          <w:tcPr>
            <w:tcW w:type="dxa" w:w="1944"/>
            <w:vAlign w:val="center"/>
            <w:tcW w:w="1944" w:type="dxa"/>
            <w:tcMar>
              <w:top w:w="55" w:type="dxa"/>
              <w:start w:w="120" w:type="dxa"/>
              <w:bottom w:w="55" w:type="dxa"/>
              <w:end w:w="120" w:type="dxa"/>
            </w:tcMar>
            <w:shd w:fill="F3F5F1"/>
          </w:tcPr>
          <w:p>
            <w:pPr>
              <w:spacing w:after="0" w:line="252" w:lineRule="auto"/>
            </w:pPr>
            <w:r>
              <w:rPr>
                <w:rFonts w:ascii="Aptos" w:hAnsi="Aptos"/>
                <w:b w:val="0"/>
                <w:i w:val="0"/>
                <w:color w:val="10221C"/>
                <w:sz w:val="16"/>
              </w:rPr>
              <w:t>Remediation assistant</w:t>
            </w:r>
          </w:p>
        </w:tc>
        <w:tc>
          <w:tcPr>
            <w:tcW w:type="dxa" w:w="4680"/>
            <w:vAlign w:val="center"/>
            <w:tcW w:w="4680" w:type="dxa"/>
            <w:tcMar>
              <w:top w:w="55" w:type="dxa"/>
              <w:start w:w="120" w:type="dxa"/>
              <w:bottom w:w="55" w:type="dxa"/>
              <w:end w:w="120" w:type="dxa"/>
            </w:tcMar>
            <w:shd w:fill="F3F5F1"/>
          </w:tcPr>
          <w:p>
            <w:pPr>
              <w:spacing w:after="0" w:line="252" w:lineRule="auto"/>
            </w:pPr>
            <w:r>
              <w:rPr>
                <w:rFonts w:ascii="Aptos" w:hAnsi="Aptos"/>
                <w:b w:val="0"/>
                <w:i w:val="0"/>
                <w:color w:val="10221C"/>
                <w:sz w:val="16"/>
              </w:rPr>
              <w:t>Produces stack-specific fix instructions, validation steps and draft tickets.</w:t>
            </w:r>
          </w:p>
        </w:tc>
        <w:tc>
          <w:tcPr>
            <w:tcW w:type="dxa" w:w="2736"/>
            <w:vAlign w:val="center"/>
            <w:tcW w:w="2736" w:type="dxa"/>
            <w:tcMar>
              <w:top w:w="55" w:type="dxa"/>
              <w:start w:w="120" w:type="dxa"/>
              <w:bottom w:w="55" w:type="dxa"/>
              <w:end w:w="120" w:type="dxa"/>
            </w:tcMar>
            <w:shd w:fill="F3F5F1"/>
          </w:tcPr>
          <w:p>
            <w:pPr>
              <w:spacing w:after="0" w:line="252" w:lineRule="auto"/>
            </w:pPr>
            <w:r>
              <w:rPr>
                <w:rFonts w:ascii="Aptos" w:hAnsi="Aptos"/>
                <w:b w:val="0"/>
                <w:i w:val="0"/>
                <w:color w:val="10221C"/>
                <w:sz w:val="16"/>
              </w:rPr>
              <w:t>Human approval; never executes production changes in Release One.</w:t>
            </w:r>
          </w:p>
        </w:tc>
      </w:tr>
      <w:tr>
        <w:tc>
          <w:tcPr>
            <w:tcW w:type="dxa" w:w="1944"/>
            <w:vAlign w:val="center"/>
            <w:tcW w:w="1944" w:type="dxa"/>
            <w:tcMar>
              <w:top w:w="55" w:type="dxa"/>
              <w:start w:w="120" w:type="dxa"/>
              <w:bottom w:w="55" w:type="dxa"/>
              <w:end w:w="120" w:type="dxa"/>
            </w:tcMar>
            <w:shd w:fill="FFFFFF"/>
          </w:tcPr>
          <w:p>
            <w:pPr>
              <w:spacing w:after="0" w:line="252" w:lineRule="auto"/>
            </w:pPr>
            <w:r>
              <w:rPr>
                <w:rFonts w:ascii="Aptos" w:hAnsi="Aptos"/>
                <w:b w:val="0"/>
                <w:i w:val="0"/>
                <w:color w:val="10221C"/>
                <w:sz w:val="16"/>
              </w:rPr>
              <w:t>Incident timeline</w:t>
            </w:r>
          </w:p>
        </w:tc>
        <w:tc>
          <w:tcPr>
            <w:tcW w:type="dxa" w:w="4680"/>
            <w:vAlign w:val="center"/>
            <w:tcW w:w="4680" w:type="dxa"/>
            <w:tcMar>
              <w:top w:w="55" w:type="dxa"/>
              <w:start w:w="120" w:type="dxa"/>
              <w:bottom w:w="55" w:type="dxa"/>
              <w:end w:w="120" w:type="dxa"/>
            </w:tcMar>
            <w:shd w:fill="FFFFFF"/>
          </w:tcPr>
          <w:p>
            <w:pPr>
              <w:spacing w:after="0" w:line="252" w:lineRule="auto"/>
            </w:pPr>
            <w:r>
              <w:rPr>
                <w:rFonts w:ascii="Aptos" w:hAnsi="Aptos"/>
                <w:b w:val="0"/>
                <w:i w:val="0"/>
                <w:color w:val="10221C"/>
                <w:sz w:val="16"/>
              </w:rPr>
              <w:t>Builds a readable timeline from scans, changes, alerts and remediation actions.</w:t>
            </w:r>
          </w:p>
        </w:tc>
        <w:tc>
          <w:tcPr>
            <w:tcW w:type="dxa" w:w="2736"/>
            <w:vAlign w:val="center"/>
            <w:tcW w:w="2736" w:type="dxa"/>
            <w:tcMar>
              <w:top w:w="55" w:type="dxa"/>
              <w:start w:w="120" w:type="dxa"/>
              <w:bottom w:w="55" w:type="dxa"/>
              <w:end w:w="120" w:type="dxa"/>
            </w:tcMar>
            <w:shd w:fill="FFFFFF"/>
          </w:tcPr>
          <w:p>
            <w:pPr>
              <w:spacing w:after="0" w:line="252" w:lineRule="auto"/>
            </w:pPr>
            <w:r>
              <w:rPr>
                <w:rFonts w:ascii="Aptos" w:hAnsi="Aptos"/>
                <w:b w:val="0"/>
                <w:i w:val="0"/>
                <w:color w:val="10221C"/>
                <w:sz w:val="16"/>
              </w:rPr>
              <w:t>Every statement links to timestamped source evidence.</w:t>
            </w:r>
          </w:p>
        </w:tc>
      </w:tr>
      <w:tr>
        <w:tc>
          <w:tcPr>
            <w:tcW w:type="dxa" w:w="1944"/>
            <w:vAlign w:val="center"/>
            <w:tcW w:w="1944" w:type="dxa"/>
            <w:tcMar>
              <w:top w:w="55" w:type="dxa"/>
              <w:start w:w="120" w:type="dxa"/>
              <w:bottom w:w="55" w:type="dxa"/>
              <w:end w:w="120" w:type="dxa"/>
            </w:tcMar>
            <w:shd w:fill="F3F5F1"/>
          </w:tcPr>
          <w:p>
            <w:pPr>
              <w:spacing w:after="0" w:line="252" w:lineRule="auto"/>
            </w:pPr>
            <w:r>
              <w:rPr>
                <w:rFonts w:ascii="Aptos" w:hAnsi="Aptos"/>
                <w:b w:val="0"/>
                <w:i w:val="0"/>
                <w:color w:val="10221C"/>
                <w:sz w:val="16"/>
              </w:rPr>
              <w:t>Anomaly detection</w:t>
            </w:r>
          </w:p>
        </w:tc>
        <w:tc>
          <w:tcPr>
            <w:tcW w:type="dxa" w:w="4680"/>
            <w:vAlign w:val="center"/>
            <w:tcW w:w="4680" w:type="dxa"/>
            <w:tcMar>
              <w:top w:w="55" w:type="dxa"/>
              <w:start w:w="120" w:type="dxa"/>
              <w:bottom w:w="55" w:type="dxa"/>
              <w:end w:w="120" w:type="dxa"/>
            </w:tcMar>
            <w:shd w:fill="F3F5F1"/>
          </w:tcPr>
          <w:p>
            <w:pPr>
              <w:spacing w:after="0" w:line="252" w:lineRule="auto"/>
            </w:pPr>
            <w:r>
              <w:rPr>
                <w:rFonts w:ascii="Aptos" w:hAnsi="Aptos"/>
                <w:b w:val="0"/>
                <w:i w:val="0"/>
                <w:color w:val="10221C"/>
                <w:sz w:val="16"/>
              </w:rPr>
              <w:t>Flags unusual deviations from an asset’s historical baseline.</w:t>
            </w:r>
          </w:p>
        </w:tc>
        <w:tc>
          <w:tcPr>
            <w:tcW w:type="dxa" w:w="2736"/>
            <w:vAlign w:val="center"/>
            <w:tcW w:w="2736" w:type="dxa"/>
            <w:tcMar>
              <w:top w:w="55" w:type="dxa"/>
              <w:start w:w="120" w:type="dxa"/>
              <w:bottom w:w="55" w:type="dxa"/>
              <w:end w:w="120" w:type="dxa"/>
            </w:tcMar>
            <w:shd w:fill="F3F5F1"/>
          </w:tcPr>
          <w:p>
            <w:pPr>
              <w:spacing w:after="0" w:line="252" w:lineRule="auto"/>
            </w:pPr>
            <w:r>
              <w:rPr>
                <w:rFonts w:ascii="Aptos" w:hAnsi="Aptos"/>
                <w:b w:val="0"/>
                <w:i w:val="0"/>
                <w:color w:val="10221C"/>
                <w:sz w:val="16"/>
              </w:rPr>
              <w:t>Starts informational; promotion requires evaluation and corroboration.</w:t>
            </w:r>
          </w:p>
        </w:tc>
      </w:tr>
      <w:tr>
        <w:tc>
          <w:tcPr>
            <w:tcW w:type="dxa" w:w="1944"/>
            <w:vAlign w:val="center"/>
            <w:tcW w:w="1944" w:type="dxa"/>
            <w:tcMar>
              <w:top w:w="55" w:type="dxa"/>
              <w:start w:w="120" w:type="dxa"/>
              <w:bottom w:w="55" w:type="dxa"/>
              <w:end w:w="120" w:type="dxa"/>
            </w:tcMar>
            <w:shd w:fill="FFFFFF"/>
          </w:tcPr>
          <w:p>
            <w:pPr>
              <w:spacing w:after="0" w:line="252" w:lineRule="auto"/>
            </w:pPr>
            <w:r>
              <w:rPr>
                <w:rFonts w:ascii="Aptos" w:hAnsi="Aptos"/>
                <w:b w:val="0"/>
                <w:i w:val="0"/>
                <w:color w:val="10221C"/>
                <w:sz w:val="16"/>
              </w:rPr>
              <w:t>Executive digest</w:t>
            </w:r>
          </w:p>
        </w:tc>
        <w:tc>
          <w:tcPr>
            <w:tcW w:type="dxa" w:w="4680"/>
            <w:vAlign w:val="center"/>
            <w:tcW w:w="4680" w:type="dxa"/>
            <w:tcMar>
              <w:top w:w="55" w:type="dxa"/>
              <w:start w:w="120" w:type="dxa"/>
              <w:bottom w:w="55" w:type="dxa"/>
              <w:end w:w="120" w:type="dxa"/>
            </w:tcMar>
            <w:shd w:fill="FFFFFF"/>
          </w:tcPr>
          <w:p>
            <w:pPr>
              <w:spacing w:after="0" w:line="252" w:lineRule="auto"/>
            </w:pPr>
            <w:r>
              <w:rPr>
                <w:rFonts w:ascii="Aptos" w:hAnsi="Aptos"/>
                <w:b w:val="0"/>
                <w:i w:val="0"/>
                <w:color w:val="10221C"/>
                <w:sz w:val="16"/>
              </w:rPr>
              <w:t>Converts posture changes into business-language daily/weekly summaries.</w:t>
            </w:r>
          </w:p>
        </w:tc>
        <w:tc>
          <w:tcPr>
            <w:tcW w:type="dxa" w:w="2736"/>
            <w:vAlign w:val="center"/>
            <w:tcW w:w="2736" w:type="dxa"/>
            <w:tcMar>
              <w:top w:w="55" w:type="dxa"/>
              <w:start w:w="120" w:type="dxa"/>
              <w:bottom w:w="55" w:type="dxa"/>
              <w:end w:w="120" w:type="dxa"/>
            </w:tcMar>
            <w:shd w:fill="FFFFFF"/>
          </w:tcPr>
          <w:p>
            <w:pPr>
              <w:spacing w:after="0" w:line="252" w:lineRule="auto"/>
            </w:pPr>
            <w:r>
              <w:rPr>
                <w:rFonts w:ascii="Aptos" w:hAnsi="Aptos"/>
                <w:b w:val="0"/>
                <w:i w:val="0"/>
                <w:color w:val="10221C"/>
                <w:sz w:val="16"/>
              </w:rPr>
              <w:t>No invented causes, guarantees or compliance claims.</w:t>
            </w:r>
          </w:p>
        </w:tc>
      </w:tr>
      <w:tr>
        <w:tc>
          <w:tcPr>
            <w:tcW w:type="dxa" w:w="1944"/>
            <w:vAlign w:val="center"/>
            <w:tcW w:w="1944" w:type="dxa"/>
            <w:tcMar>
              <w:top w:w="55" w:type="dxa"/>
              <w:start w:w="120" w:type="dxa"/>
              <w:bottom w:w="55" w:type="dxa"/>
              <w:end w:w="120" w:type="dxa"/>
            </w:tcMar>
            <w:shd w:fill="F3F5F1"/>
          </w:tcPr>
          <w:p>
            <w:pPr>
              <w:spacing w:after="0" w:line="252" w:lineRule="auto"/>
            </w:pPr>
            <w:r>
              <w:rPr>
                <w:rFonts w:ascii="Aptos" w:hAnsi="Aptos"/>
                <w:b w:val="0"/>
                <w:i w:val="0"/>
                <w:color w:val="10221C"/>
                <w:sz w:val="16"/>
              </w:rPr>
              <w:t>Feedback learning</w:t>
            </w:r>
          </w:p>
        </w:tc>
        <w:tc>
          <w:tcPr>
            <w:tcW w:type="dxa" w:w="4680"/>
            <w:vAlign w:val="center"/>
            <w:tcW w:w="4680" w:type="dxa"/>
            <w:tcMar>
              <w:top w:w="55" w:type="dxa"/>
              <w:start w:w="120" w:type="dxa"/>
              <w:bottom w:w="55" w:type="dxa"/>
              <w:end w:w="120" w:type="dxa"/>
            </w:tcMar>
            <w:shd w:fill="F3F5F1"/>
          </w:tcPr>
          <w:p>
            <w:pPr>
              <w:spacing w:after="0" w:line="252" w:lineRule="auto"/>
            </w:pPr>
            <w:r>
              <w:rPr>
                <w:rFonts w:ascii="Aptos" w:hAnsi="Aptos"/>
                <w:b w:val="0"/>
                <w:i w:val="0"/>
                <w:color w:val="10221C"/>
                <w:sz w:val="16"/>
              </w:rPr>
              <w:t>Uses confirmed fixes and false-positive feedback to improve ranking.</w:t>
            </w:r>
          </w:p>
        </w:tc>
        <w:tc>
          <w:tcPr>
            <w:tcW w:type="dxa" w:w="2736"/>
            <w:vAlign w:val="center"/>
            <w:tcW w:w="2736" w:type="dxa"/>
            <w:tcMar>
              <w:top w:w="55" w:type="dxa"/>
              <w:start w:w="120" w:type="dxa"/>
              <w:bottom w:w="55" w:type="dxa"/>
              <w:end w:w="120" w:type="dxa"/>
            </w:tcMar>
            <w:shd w:fill="F3F5F1"/>
          </w:tcPr>
          <w:p>
            <w:pPr>
              <w:spacing w:after="0" w:line="252" w:lineRule="auto"/>
            </w:pPr>
            <w:r>
              <w:rPr>
                <w:rFonts w:ascii="Aptos" w:hAnsi="Aptos"/>
                <w:b w:val="0"/>
                <w:i w:val="0"/>
                <w:color w:val="10221C"/>
                <w:sz w:val="16"/>
              </w:rPr>
              <w:t>Tenant isolation; controlled evaluation before model/rule changes.</w:t>
            </w:r>
          </w:p>
        </w:tc>
      </w:tr>
    </w:tbl>
    <w:p>
      <w:pPr>
        <w:spacing w:after="40"/>
      </w:pPr>
    </w:p>
    <w:p>
      <w:pPr>
        <w:pStyle w:val="Heading3"/>
      </w:pPr>
      <w:r>
        <w:t>7.5.2 Intelligence event pipeline</w:t>
      </w:r>
    </w:p>
    <w:p>
      <w:r>
        <w:rPr>
          <w:rFonts w:ascii="Aptos" w:hAnsi="Aptos"/>
          <w:b w:val="0"/>
          <w:i w:val="0"/>
          <w:color w:val="10221C"/>
          <w:sz w:val="22"/>
        </w:rPr>
        <w:t>Authorized signal → immutable observation → deterministic rule evaluation → event stream → correlation window → anomaly/risk models → evidence-grounded explanation → policy gate → notification or recommended action → human decision → outcome feedback. Every stage carries tenant, asset, rule/model version, timestamp, confidence and correlation identifiers.</w:t>
      </w:r>
    </w:p>
    <w:p>
      <w:pPr>
        <w:pStyle w:val="Heading3"/>
      </w:pPr>
      <w:r>
        <w:t>7.5.3 AI architecture</w:t>
      </w:r>
    </w:p>
    <w:p>
      <w:pPr>
        <w:pStyle w:val="ListBullet"/>
      </w:pPr>
      <w:r>
        <w:rPr>
          <w:rFonts w:ascii="Aptos" w:hAnsi="Aptos"/>
          <w:b w:val="0"/>
          <w:i w:val="0"/>
          <w:color w:val="10221C"/>
          <w:sz w:val="22"/>
        </w:rPr>
        <w:t>Feature service computes bounded security features from normalized observations; raw untrusted page content is excluded by default.</w:t>
      </w:r>
    </w:p>
    <w:p>
      <w:pPr>
        <w:pStyle w:val="ListBullet"/>
      </w:pPr>
      <w:r>
        <w:rPr>
          <w:rFonts w:ascii="Aptos" w:hAnsi="Aptos"/>
          <w:b w:val="0"/>
          <w:i w:val="0"/>
          <w:color w:val="10221C"/>
          <w:sz w:val="22"/>
        </w:rPr>
        <w:t>Correlation service groups related DNS, certificate, header, uptime and asset events within defined windows.</w:t>
      </w:r>
    </w:p>
    <w:p>
      <w:pPr>
        <w:pStyle w:val="ListBullet"/>
      </w:pPr>
      <w:r>
        <w:rPr>
          <w:rFonts w:ascii="Aptos" w:hAnsi="Aptos"/>
          <w:b w:val="0"/>
          <w:i w:val="0"/>
          <w:color w:val="10221C"/>
          <w:sz w:val="22"/>
        </w:rPr>
        <w:t>Model gateway provides provider abstraction, redaction, model allowlists, budgets, timeouts and full request metadata without logging sensitive prompts by default.</w:t>
      </w:r>
    </w:p>
    <w:p>
      <w:pPr>
        <w:pStyle w:val="ListBullet"/>
      </w:pPr>
      <w:r>
        <w:rPr>
          <w:rFonts w:ascii="Aptos" w:hAnsi="Aptos"/>
          <w:b w:val="0"/>
          <w:i w:val="0"/>
          <w:color w:val="10221C"/>
          <w:sz w:val="22"/>
        </w:rPr>
        <w:t>Retrieval layer searches only workspace-authorized evidence and approved remediation knowledge using tenant-scoped indexes.</w:t>
      </w:r>
    </w:p>
    <w:p>
      <w:pPr>
        <w:pStyle w:val="ListBullet"/>
      </w:pPr>
      <w:r>
        <w:rPr>
          <w:rFonts w:ascii="Aptos" w:hAnsi="Aptos"/>
          <w:b w:val="0"/>
          <w:i w:val="0"/>
          <w:color w:val="10221C"/>
          <w:sz w:val="22"/>
        </w:rPr>
        <w:t>Policy engine validates outputs, blocks unsafe actions and requires human approval for notifications or integrations with meaningful impact.</w:t>
      </w:r>
    </w:p>
    <w:p>
      <w:pPr>
        <w:pStyle w:val="ListBullet"/>
      </w:pPr>
      <w:r>
        <w:rPr>
          <w:rFonts w:ascii="Aptos" w:hAnsi="Aptos"/>
          <w:b w:val="0"/>
          <w:i w:val="0"/>
          <w:color w:val="10221C"/>
          <w:sz w:val="22"/>
        </w:rPr>
        <w:t>Evaluation service runs golden datasets, adversarial prompts, hallucination checks, bilingual quality tests and cost/latency benchmarks before rollout.</w:t>
      </w:r>
    </w:p>
    <w:p>
      <w:pPr>
        <w:pStyle w:val="ListBullet"/>
      </w:pPr>
      <w:r>
        <w:rPr>
          <w:rFonts w:ascii="Aptos" w:hAnsi="Aptos"/>
          <w:b w:val="0"/>
          <w:i w:val="0"/>
          <w:color w:val="10221C"/>
          <w:sz w:val="22"/>
        </w:rPr>
        <w:t>AI telemetry records model/version, retrieved evidence IDs, confidence, policy decisions, user feedback and outcome—without exposing secrets.</w:t>
      </w:r>
    </w:p>
    <w:p>
      <w:pPr>
        <w:pStyle w:val="Heading3"/>
      </w:pPr>
      <w:r>
        <w:t>7.5.4 AI safety requirements</w:t>
      </w:r>
    </w:p>
    <w:p>
      <w:pPr>
        <w:pStyle w:val="ListBullet"/>
      </w:pPr>
      <w:r>
        <w:rPr>
          <w:rFonts w:ascii="Aptos" w:hAnsi="Aptos"/>
          <w:b w:val="0"/>
          <w:i w:val="0"/>
          <w:color w:val="10221C"/>
          <w:sz w:val="22"/>
        </w:rPr>
        <w:t>Treat websites, DNS text, tickets and user content as untrusted data, never as instructions to the model.</w:t>
      </w:r>
    </w:p>
    <w:p>
      <w:pPr>
        <w:pStyle w:val="ListBullet"/>
      </w:pPr>
      <w:r>
        <w:rPr>
          <w:rFonts w:ascii="Aptos" w:hAnsi="Aptos"/>
          <w:b w:val="0"/>
          <w:i w:val="0"/>
          <w:color w:val="10221C"/>
          <w:sz w:val="22"/>
        </w:rPr>
        <w:t>Prevent prompt injection through strict context separation, input labeling, output validation and tool allowlists.</w:t>
      </w:r>
    </w:p>
    <w:p>
      <w:pPr>
        <w:pStyle w:val="ListBullet"/>
      </w:pPr>
      <w:r>
        <w:rPr>
          <w:rFonts w:ascii="Aptos" w:hAnsi="Aptos"/>
          <w:b w:val="0"/>
          <w:i w:val="0"/>
          <w:color w:val="10221C"/>
          <w:sz w:val="22"/>
        </w:rPr>
        <w:t>No unrestricted agent loops, shell access, scanner control or network access from the language model.</w:t>
      </w:r>
    </w:p>
    <w:p>
      <w:pPr>
        <w:pStyle w:val="ListBullet"/>
      </w:pPr>
      <w:r>
        <w:rPr>
          <w:rFonts w:ascii="Aptos" w:hAnsi="Aptos"/>
          <w:b w:val="0"/>
          <w:i w:val="0"/>
          <w:color w:val="10221C"/>
          <w:sz w:val="22"/>
        </w:rPr>
        <w:t>Authorization is enforced by application services; an AI response can never grant access.</w:t>
      </w:r>
    </w:p>
    <w:p>
      <w:pPr>
        <w:pStyle w:val="ListBullet"/>
      </w:pPr>
      <w:r>
        <w:rPr>
          <w:rFonts w:ascii="Aptos" w:hAnsi="Aptos"/>
          <w:b w:val="0"/>
          <w:i w:val="0"/>
          <w:color w:val="10221C"/>
          <w:sz w:val="22"/>
        </w:rPr>
        <w:t>High-impact actions require explicit human confirmation and are executed by deterministic downstream services.</w:t>
      </w:r>
    </w:p>
    <w:p>
      <w:pPr>
        <w:pStyle w:val="ListBullet"/>
      </w:pPr>
      <w:r>
        <w:rPr>
          <w:rFonts w:ascii="Aptos" w:hAnsi="Aptos"/>
          <w:b w:val="0"/>
          <w:i w:val="0"/>
          <w:color w:val="10221C"/>
          <w:sz w:val="22"/>
        </w:rPr>
        <w:t>Customers can disable generative features and request deletion under the documented retention policy.</w:t>
      </w:r>
    </w:p>
    <w:p>
      <w:pPr>
        <w:pStyle w:val="ListBullet"/>
      </w:pPr>
      <w:r>
        <w:rPr>
          <w:rFonts w:ascii="Aptos" w:hAnsi="Aptos"/>
          <w:b w:val="0"/>
          <w:i w:val="0"/>
          <w:color w:val="10221C"/>
          <w:sz w:val="22"/>
        </w:rPr>
        <w:t>Model providers must not train on customer data unless a separate explicit agreement permits it.</w:t>
      </w:r>
    </w:p>
    <w:p>
      <w:pPr>
        <w:pStyle w:val="ListBullet"/>
      </w:pPr>
      <w:r>
        <w:rPr>
          <w:rFonts w:ascii="Aptos" w:hAnsi="Aptos"/>
          <w:b w:val="0"/>
          <w:i w:val="0"/>
          <w:color w:val="10221C"/>
          <w:sz w:val="22"/>
        </w:rPr>
        <w:t>AI features launch behind flags with rollback, cost limits, safety monitoring and incident procedures.</w:t>
      </w:r>
    </w:p>
    <w:p>
      <w:pPr>
        <w:pStyle w:val="Heading3"/>
      </w:pPr>
      <w:r>
        <w:t>7.5.5 AI delivery sequence</w:t>
      </w:r>
    </w:p>
    <w:p>
      <w:r>
        <w:rPr>
          <w:rFonts w:ascii="Aptos" w:hAnsi="Aptos"/>
          <w:b w:val="0"/>
          <w:i w:val="0"/>
          <w:color w:val="10221C"/>
          <w:sz w:val="22"/>
        </w:rPr>
        <w:t>Private MVP: rule-based prioritization and evidence-grounded scan summaries. Private beta: Risk Copilot, change intelligence and draft remediation. Public V1: evaluated bilingual summaries, executive digests and feedback capture. V1.x: historical anomaly detection and cross-signal correlation. V2: carefully governed agent-assisted workflows, integrations and impersonation intelligence—still human-approved for consequential action.</w:t>
      </w:r>
    </w:p>
    <w:p>
      <w:pPr>
        <w:pStyle w:val="Heading1"/>
      </w:pPr>
      <w:r>
        <w:t>8. Security, privacy and abuse prevention</w:t>
      </w:r>
    </w:p>
    <w:p>
      <w:pPr>
        <w:pStyle w:val="Heading2"/>
      </w:pPr>
      <w:r>
        <w:t>8.1 Threat model</w:t>
      </w:r>
    </w:p>
    <w:p>
      <w:r>
        <w:rPr>
          <w:rFonts w:ascii="Aptos" w:hAnsi="Aptos"/>
          <w:b w:val="0"/>
          <w:i w:val="0"/>
          <w:color w:val="10221C"/>
          <w:sz w:val="22"/>
        </w:rPr>
        <w:t>Primary threats include unauthorized target scanning, server-side request forgery, cross-tenant access, compromised worker containers, queue poisoning, credential theft, report leakage, malicious domains, denial of wallet through expensive scans, dependency compromise, insider misuse and manipulated evidence.</w:t>
      </w:r>
    </w:p>
    <w:p>
      <w:pPr>
        <w:pStyle w:val="Heading2"/>
      </w:pPr>
      <w:r>
        <w:t>8.2 Required controls</w:t>
      </w:r>
    </w:p>
    <w:tbl>
      <w:tblPr>
        <w:tblW w:type="auto" w:w="0"/>
        <w:jc w:val="left"/>
        <w:tblLayout w:type="fixed"/>
        <w:tblLook w:firstColumn="1" w:firstRow="1" w:lastColumn="0" w:lastRow="0" w:noHBand="0" w:noVBand="1" w:val="04A0"/>
        <w:tblW w:w="9360" w:type="dxa"/>
        <w:tblInd w:w="120" w:type="dxa"/>
      </w:tblPr>
      <w:tblGrid>
        <w:gridCol w:w="1728"/>
        <w:gridCol w:w="7632"/>
      </w:tblGrid>
      <w:tr>
        <w:trPr>
          <w:tblHeader w:val="true"/>
        </w:trPr>
        <w:tc>
          <w:tcPr>
            <w:tcW w:type="dxa" w:w="1728"/>
            <w:vAlign w:val="center"/>
            <w:tcW w:w="1728" w:type="dxa"/>
            <w:tcMar>
              <w:top w:w="80" w:type="dxa"/>
              <w:start w:w="120" w:type="dxa"/>
              <w:bottom w:w="80" w:type="dxa"/>
              <w:end w:w="120" w:type="dxa"/>
            </w:tcMar>
            <w:shd w:fill="12392F"/>
          </w:tcPr>
          <w:p>
            <w:pPr>
              <w:spacing w:after="0" w:line="252" w:lineRule="auto"/>
            </w:pPr>
            <w:r>
              <w:rPr>
                <w:rFonts w:ascii="Aptos" w:hAnsi="Aptos"/>
                <w:b/>
                <w:i w:val="0"/>
                <w:color w:val="FFFFFF"/>
                <w:sz w:val="17"/>
              </w:rPr>
              <w:t>Control area</w:t>
            </w:r>
          </w:p>
        </w:tc>
        <w:tc>
          <w:tcPr>
            <w:tcW w:type="dxa" w:w="7632"/>
            <w:vAlign w:val="center"/>
            <w:tcW w:w="7632" w:type="dxa"/>
            <w:tcMar>
              <w:top w:w="80" w:type="dxa"/>
              <w:start w:w="120" w:type="dxa"/>
              <w:bottom w:w="80" w:type="dxa"/>
              <w:end w:w="120" w:type="dxa"/>
            </w:tcMar>
            <w:shd w:fill="12392F"/>
          </w:tcPr>
          <w:p>
            <w:pPr>
              <w:spacing w:after="0" w:line="252" w:lineRule="auto"/>
            </w:pPr>
            <w:r>
              <w:rPr>
                <w:rFonts w:ascii="Aptos" w:hAnsi="Aptos"/>
                <w:b/>
                <w:i w:val="0"/>
                <w:color w:val="FFFFFF"/>
                <w:sz w:val="17"/>
              </w:rPr>
              <w:t>Mandatory baseline</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Authorization</w:t>
            </w:r>
          </w:p>
        </w:tc>
        <w:tc>
          <w:tcPr>
            <w:tcW w:type="dxa" w:w="7632"/>
            <w:vAlign w:val="center"/>
            <w:tcW w:w="7632" w:type="dxa"/>
            <w:tcMar>
              <w:top w:w="80" w:type="dxa"/>
              <w:start w:w="120" w:type="dxa"/>
              <w:bottom w:w="80" w:type="dxa"/>
              <w:end w:w="120" w:type="dxa"/>
            </w:tcMar>
            <w:shd w:fill="FFFFFF"/>
          </w:tcPr>
          <w:p>
            <w:pPr>
              <w:spacing w:after="0" w:line="252" w:lineRule="auto"/>
            </w:pPr>
            <w:r>
              <w:rPr>
                <w:rFonts w:ascii="Aptos" w:hAnsi="Aptos"/>
                <w:b w:val="0"/>
                <w:i w:val="0"/>
                <w:color w:val="10221C"/>
                <w:sz w:val="17"/>
              </w:rPr>
              <w:t>Verify domain by DNS TXT, hosted file or meta tag before recurring or expanded scans.</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SSRF</w:t>
            </w:r>
          </w:p>
        </w:tc>
        <w:tc>
          <w:tcPr>
            <w:tcW w:type="dxa" w:w="7632"/>
            <w:vAlign w:val="center"/>
            <w:tcW w:w="7632" w:type="dxa"/>
            <w:tcMar>
              <w:top w:w="80" w:type="dxa"/>
              <w:start w:w="120" w:type="dxa"/>
              <w:bottom w:w="80" w:type="dxa"/>
              <w:end w:w="120" w:type="dxa"/>
            </w:tcMar>
            <w:shd w:fill="F3F5F1"/>
          </w:tcPr>
          <w:p>
            <w:pPr>
              <w:spacing w:after="0" w:line="252" w:lineRule="auto"/>
            </w:pPr>
            <w:r>
              <w:rPr>
                <w:rFonts w:ascii="Aptos" w:hAnsi="Aptos"/>
                <w:b w:val="0"/>
                <w:i w:val="0"/>
                <w:color w:val="10221C"/>
                <w:sz w:val="17"/>
              </w:rPr>
              <w:t>Resolve before request; reject private, loopback, link-local, reserved and metadata addresses; revalidate every redirect and connection.</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Isolation</w:t>
            </w:r>
          </w:p>
        </w:tc>
        <w:tc>
          <w:tcPr>
            <w:tcW w:type="dxa" w:w="7632"/>
            <w:vAlign w:val="center"/>
            <w:tcW w:w="7632" w:type="dxa"/>
            <w:tcMar>
              <w:top w:w="80" w:type="dxa"/>
              <w:start w:w="120" w:type="dxa"/>
              <w:bottom w:w="80" w:type="dxa"/>
              <w:end w:w="120" w:type="dxa"/>
            </w:tcMar>
            <w:shd w:fill="FFFFFF"/>
          </w:tcPr>
          <w:p>
            <w:pPr>
              <w:spacing w:after="0" w:line="252" w:lineRule="auto"/>
            </w:pPr>
            <w:r>
              <w:rPr>
                <w:rFonts w:ascii="Aptos" w:hAnsi="Aptos"/>
                <w:b w:val="0"/>
                <w:i w:val="0"/>
                <w:color w:val="10221C"/>
                <w:sz w:val="17"/>
              </w:rPr>
              <w:t>Ephemeral non-root workers, read-only filesystem, resource limits and no application-secret access.</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Egress</w:t>
            </w:r>
          </w:p>
        </w:tc>
        <w:tc>
          <w:tcPr>
            <w:tcW w:type="dxa" w:w="7632"/>
            <w:vAlign w:val="center"/>
            <w:tcW w:w="7632" w:type="dxa"/>
            <w:tcMar>
              <w:top w:w="80" w:type="dxa"/>
              <w:start w:w="120" w:type="dxa"/>
              <w:bottom w:w="80" w:type="dxa"/>
              <w:end w:w="120" w:type="dxa"/>
            </w:tcMar>
            <w:shd w:fill="F3F5F1"/>
          </w:tcPr>
          <w:p>
            <w:pPr>
              <w:spacing w:after="0" w:line="252" w:lineRule="auto"/>
            </w:pPr>
            <w:r>
              <w:rPr>
                <w:rFonts w:ascii="Aptos" w:hAnsi="Aptos"/>
                <w:b w:val="0"/>
                <w:i w:val="0"/>
                <w:color w:val="10221C"/>
                <w:sz w:val="17"/>
              </w:rPr>
              <w:t>Network policy, approved protocols/ports, destination validation, timeouts and response limits.</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Identity</w:t>
            </w:r>
          </w:p>
        </w:tc>
        <w:tc>
          <w:tcPr>
            <w:tcW w:type="dxa" w:w="7632"/>
            <w:vAlign w:val="center"/>
            <w:tcW w:w="7632" w:type="dxa"/>
            <w:tcMar>
              <w:top w:w="80" w:type="dxa"/>
              <w:start w:w="120" w:type="dxa"/>
              <w:bottom w:w="80" w:type="dxa"/>
              <w:end w:w="120" w:type="dxa"/>
            </w:tcMar>
            <w:shd w:fill="FFFFFF"/>
          </w:tcPr>
          <w:p>
            <w:pPr>
              <w:spacing w:after="0" w:line="252" w:lineRule="auto"/>
            </w:pPr>
            <w:r>
              <w:rPr>
                <w:rFonts w:ascii="Aptos" w:hAnsi="Aptos"/>
                <w:b w:val="0"/>
                <w:i w:val="0"/>
                <w:color w:val="10221C"/>
                <w:sz w:val="17"/>
              </w:rPr>
              <w:t>MFA for privileged roles, secure recovery, session rotation and step-up authentication.</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Tenancy</w:t>
            </w:r>
          </w:p>
        </w:tc>
        <w:tc>
          <w:tcPr>
            <w:tcW w:type="dxa" w:w="7632"/>
            <w:vAlign w:val="center"/>
            <w:tcW w:w="7632" w:type="dxa"/>
            <w:tcMar>
              <w:top w:w="80" w:type="dxa"/>
              <w:start w:w="120" w:type="dxa"/>
              <w:bottom w:w="80" w:type="dxa"/>
              <w:end w:w="120" w:type="dxa"/>
            </w:tcMar>
            <w:shd w:fill="F3F5F1"/>
          </w:tcPr>
          <w:p>
            <w:pPr>
              <w:spacing w:after="0" w:line="252" w:lineRule="auto"/>
            </w:pPr>
            <w:r>
              <w:rPr>
                <w:rFonts w:ascii="Aptos" w:hAnsi="Aptos"/>
                <w:b w:val="0"/>
                <w:i w:val="0"/>
                <w:color w:val="10221C"/>
                <w:sz w:val="17"/>
              </w:rPr>
              <w:t>Workspace-scoped authorization, database row policies/guards, object-path isolation and tests.</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Secrets</w:t>
            </w:r>
          </w:p>
        </w:tc>
        <w:tc>
          <w:tcPr>
            <w:tcW w:type="dxa" w:w="7632"/>
            <w:vAlign w:val="center"/>
            <w:tcW w:w="7632" w:type="dxa"/>
            <w:tcMar>
              <w:top w:w="80" w:type="dxa"/>
              <w:start w:w="120" w:type="dxa"/>
              <w:bottom w:w="80" w:type="dxa"/>
              <w:end w:w="120" w:type="dxa"/>
            </w:tcMar>
            <w:shd w:fill="FFFFFF"/>
          </w:tcPr>
          <w:p>
            <w:pPr>
              <w:spacing w:after="0" w:line="252" w:lineRule="auto"/>
            </w:pPr>
            <w:r>
              <w:rPr>
                <w:rFonts w:ascii="Aptos" w:hAnsi="Aptos"/>
                <w:b w:val="0"/>
                <w:i w:val="0"/>
                <w:color w:val="10221C"/>
                <w:sz w:val="17"/>
              </w:rPr>
              <w:t>Managed secret store, rotation, least privilege and no secrets in code/logs.</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Audit</w:t>
            </w:r>
          </w:p>
        </w:tc>
        <w:tc>
          <w:tcPr>
            <w:tcW w:type="dxa" w:w="7632"/>
            <w:vAlign w:val="center"/>
            <w:tcW w:w="7632" w:type="dxa"/>
            <w:tcMar>
              <w:top w:w="80" w:type="dxa"/>
              <w:start w:w="120" w:type="dxa"/>
              <w:bottom w:w="80" w:type="dxa"/>
              <w:end w:w="120" w:type="dxa"/>
            </w:tcMar>
            <w:shd w:fill="F3F5F1"/>
          </w:tcPr>
          <w:p>
            <w:pPr>
              <w:spacing w:after="0" w:line="252" w:lineRule="auto"/>
            </w:pPr>
            <w:r>
              <w:rPr>
                <w:rFonts w:ascii="Aptos" w:hAnsi="Aptos"/>
                <w:b w:val="0"/>
                <w:i w:val="0"/>
                <w:color w:val="10221C"/>
                <w:sz w:val="17"/>
              </w:rPr>
              <w:t>Append-only security events for roles, assets, scans, exports, billing and administrative action.</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Supply chain</w:t>
            </w:r>
          </w:p>
        </w:tc>
        <w:tc>
          <w:tcPr>
            <w:tcW w:type="dxa" w:w="7632"/>
            <w:vAlign w:val="center"/>
            <w:tcW w:w="7632" w:type="dxa"/>
            <w:tcMar>
              <w:top w:w="80" w:type="dxa"/>
              <w:start w:w="120" w:type="dxa"/>
              <w:bottom w:w="80" w:type="dxa"/>
              <w:end w:w="120" w:type="dxa"/>
            </w:tcMar>
            <w:shd w:fill="FFFFFF"/>
          </w:tcPr>
          <w:p>
            <w:pPr>
              <w:spacing w:after="0" w:line="252" w:lineRule="auto"/>
            </w:pPr>
            <w:r>
              <w:rPr>
                <w:rFonts w:ascii="Aptos" w:hAnsi="Aptos"/>
                <w:b w:val="0"/>
                <w:i w:val="0"/>
                <w:color w:val="10221C"/>
                <w:sz w:val="17"/>
              </w:rPr>
              <w:t>Pinned dependencies, SBOM, secret scanning, SAST, dependency alerts and signed releases.</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Data</w:t>
            </w:r>
          </w:p>
        </w:tc>
        <w:tc>
          <w:tcPr>
            <w:tcW w:type="dxa" w:w="7632"/>
            <w:vAlign w:val="center"/>
            <w:tcW w:w="7632" w:type="dxa"/>
            <w:tcMar>
              <w:top w:w="80" w:type="dxa"/>
              <w:start w:w="120" w:type="dxa"/>
              <w:bottom w:w="80" w:type="dxa"/>
              <w:end w:w="120" w:type="dxa"/>
            </w:tcMar>
            <w:shd w:fill="F3F5F1"/>
          </w:tcPr>
          <w:p>
            <w:pPr>
              <w:spacing w:after="0" w:line="252" w:lineRule="auto"/>
            </w:pPr>
            <w:r>
              <w:rPr>
                <w:rFonts w:ascii="Aptos" w:hAnsi="Aptos"/>
                <w:b w:val="0"/>
                <w:i w:val="0"/>
                <w:color w:val="10221C"/>
                <w:sz w:val="17"/>
              </w:rPr>
              <w:t>Encryption in transit/at rest, minimization, retention schedule, export and deletion workflow.</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Abuse</w:t>
            </w:r>
          </w:p>
        </w:tc>
        <w:tc>
          <w:tcPr>
            <w:tcW w:type="dxa" w:w="7632"/>
            <w:vAlign w:val="center"/>
            <w:tcW w:w="7632" w:type="dxa"/>
            <w:tcMar>
              <w:top w:w="80" w:type="dxa"/>
              <w:start w:w="120" w:type="dxa"/>
              <w:bottom w:w="80" w:type="dxa"/>
              <w:end w:w="120" w:type="dxa"/>
            </w:tcMar>
            <w:shd w:fill="FFFFFF"/>
          </w:tcPr>
          <w:p>
            <w:pPr>
              <w:spacing w:after="0" w:line="252" w:lineRule="auto"/>
            </w:pPr>
            <w:r>
              <w:rPr>
                <w:rFonts w:ascii="Aptos" w:hAnsi="Aptos"/>
                <w:b w:val="0"/>
                <w:i w:val="0"/>
                <w:color w:val="10221C"/>
                <w:sz w:val="17"/>
              </w:rPr>
              <w:t>Rate limits, quotas, reputation signals, manual review and immediate kill switch.</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Disclosure</w:t>
            </w:r>
          </w:p>
        </w:tc>
        <w:tc>
          <w:tcPr>
            <w:tcW w:type="dxa" w:w="7632"/>
            <w:vAlign w:val="center"/>
            <w:tcW w:w="7632" w:type="dxa"/>
            <w:tcMar>
              <w:top w:w="80" w:type="dxa"/>
              <w:start w:w="120" w:type="dxa"/>
              <w:bottom w:w="80" w:type="dxa"/>
              <w:end w:w="120" w:type="dxa"/>
            </w:tcMar>
            <w:shd w:fill="F3F5F1"/>
          </w:tcPr>
          <w:p>
            <w:pPr>
              <w:spacing w:after="0" w:line="252" w:lineRule="auto"/>
            </w:pPr>
            <w:r>
              <w:rPr>
                <w:rFonts w:ascii="Aptos" w:hAnsi="Aptos"/>
                <w:b w:val="0"/>
                <w:i w:val="0"/>
                <w:color w:val="10221C"/>
                <w:sz w:val="17"/>
              </w:rPr>
              <w:t>Published vulnerability disclosure policy and response SLA before beta.</w:t>
            </w:r>
          </w:p>
        </w:tc>
      </w:tr>
    </w:tbl>
    <w:p>
      <w:pPr>
        <w:spacing w:after="40"/>
      </w:pPr>
    </w:p>
    <w:p>
      <w:pPr>
        <w:pStyle w:val="Heading2"/>
      </w:pPr>
      <w:r>
        <w:t>8.3 Secure development standard</w:t>
      </w:r>
    </w:p>
    <w:p>
      <w:r>
        <w:rPr>
          <w:rFonts w:ascii="Aptos" w:hAnsi="Aptos"/>
          <w:b w:val="0"/>
          <w:i w:val="0"/>
          <w:color w:val="10221C"/>
          <w:sz w:val="22"/>
        </w:rPr>
        <w:t>Release One targets OWASP ASVS Level 2-aligned verification where applicable, OWASP Web Security Testing Guide coverage for relevant controls, and secure-by-design defaults. NIST CSF 2.0 informs KingaWeb’s customer-facing risk lifecycle: Govern, Identify, Protect, Detect, Respond and Recover.</w:t>
      </w:r>
    </w:p>
    <w:p>
      <w:r>
        <w:rPr>
          <w:rFonts w:ascii="Aptos" w:hAnsi="Aptos"/>
          <w:b w:val="0"/>
          <w:i w:val="0"/>
          <w:color w:val="10221C"/>
          <w:sz w:val="22"/>
        </w:rPr>
        <w:t>AI features additionally follow the NIST AI Risk Management Framework’s Govern, Map, Measure and Manage functions and current OWASP GenAI guidance. Evaluation covers prompt injection, sensitive-data disclosure, insecure output handling, excessive agency, model/provider dependency, denial-of-wallet and overreliance.</w:t>
      </w:r>
    </w:p>
    <w:p>
      <w:pPr>
        <w:pStyle w:val="Heading2"/>
      </w:pPr>
      <w:r>
        <w:t>8.4 Privacy principles</w:t>
      </w:r>
    </w:p>
    <w:p>
      <w:pPr>
        <w:pStyle w:val="ListBullet"/>
      </w:pPr>
      <w:r>
        <w:rPr>
          <w:rFonts w:ascii="Aptos" w:hAnsi="Aptos"/>
          <w:b w:val="0"/>
          <w:i w:val="0"/>
          <w:color w:val="10221C"/>
          <w:sz w:val="22"/>
        </w:rPr>
        <w:t>Collect public technical evidence only when needed; avoid page bodies and personal data by default.</w:t>
      </w:r>
    </w:p>
    <w:p>
      <w:pPr>
        <w:pStyle w:val="ListBullet"/>
      </w:pPr>
      <w:r>
        <w:rPr>
          <w:rFonts w:ascii="Aptos" w:hAnsi="Aptos"/>
          <w:b w:val="0"/>
          <w:i w:val="0"/>
          <w:color w:val="10221C"/>
          <w:sz w:val="22"/>
        </w:rPr>
        <w:t>Separate operational telemetry from customer scan evidence.</w:t>
      </w:r>
    </w:p>
    <w:p>
      <w:pPr>
        <w:pStyle w:val="ListBullet"/>
      </w:pPr>
      <w:r>
        <w:rPr>
          <w:rFonts w:ascii="Aptos" w:hAnsi="Aptos"/>
          <w:b w:val="0"/>
          <w:i w:val="0"/>
          <w:color w:val="10221C"/>
          <w:sz w:val="22"/>
        </w:rPr>
        <w:t>Provide retention choices, export and deletion; document exceptions for fraud/security records.</w:t>
      </w:r>
    </w:p>
    <w:p>
      <w:pPr>
        <w:pStyle w:val="ListBullet"/>
      </w:pPr>
      <w:r>
        <w:rPr>
          <w:rFonts w:ascii="Aptos" w:hAnsi="Aptos"/>
          <w:b w:val="0"/>
          <w:i w:val="0"/>
          <w:color w:val="10221C"/>
          <w:sz w:val="22"/>
        </w:rPr>
        <w:t>Do not sell customer data or use private evidence to train models without explicit agreement.</w:t>
      </w:r>
    </w:p>
    <w:p>
      <w:pPr>
        <w:pStyle w:val="ListBullet"/>
      </w:pPr>
      <w:r>
        <w:rPr>
          <w:rFonts w:ascii="Aptos" w:hAnsi="Aptos"/>
          <w:b w:val="0"/>
          <w:i w:val="0"/>
          <w:color w:val="10221C"/>
          <w:sz w:val="22"/>
        </w:rPr>
        <w:t>Complete a Tanzania data-protection/legal review before public processing of customer information.</w:t>
      </w:r>
    </w:p>
    <w:p>
      <w:pPr>
        <w:pStyle w:val="Heading1"/>
      </w:pPr>
      <w:r>
        <w:t>9. Data model and APIs</w:t>
      </w:r>
    </w:p>
    <w:p>
      <w:pPr>
        <w:pStyle w:val="Heading2"/>
      </w:pPr>
      <w:r>
        <w:t>9.1 Core entities</w:t>
      </w:r>
    </w:p>
    <w:tbl>
      <w:tblPr>
        <w:tblW w:type="auto" w:w="0"/>
        <w:jc w:val="left"/>
        <w:tblLayout w:type="fixed"/>
        <w:tblLook w:firstColumn="1" w:firstRow="1" w:lastColumn="0" w:lastRow="0" w:noHBand="0" w:noVBand="1" w:val="04A0"/>
        <w:tblW w:w="9360" w:type="dxa"/>
        <w:tblInd w:w="120" w:type="dxa"/>
      </w:tblPr>
      <w:tblGrid>
        <w:gridCol w:w="1656"/>
        <w:gridCol w:w="3960"/>
        <w:gridCol w:w="3744"/>
      </w:tblGrid>
      <w:tr>
        <w:trPr>
          <w:tblHeader w:val="true"/>
        </w:trPr>
        <w:tc>
          <w:tcPr>
            <w:tcW w:type="dxa" w:w="1656"/>
            <w:vAlign w:val="center"/>
            <w:tcW w:w="1656" w:type="dxa"/>
            <w:tcMar>
              <w:top w:w="80" w:type="dxa"/>
              <w:start w:w="120" w:type="dxa"/>
              <w:bottom w:w="80" w:type="dxa"/>
              <w:end w:w="120" w:type="dxa"/>
            </w:tcMar>
            <w:shd w:fill="12392F"/>
          </w:tcPr>
          <w:p>
            <w:pPr>
              <w:spacing w:after="0" w:line="252" w:lineRule="auto"/>
            </w:pPr>
            <w:r>
              <w:rPr>
                <w:rFonts w:ascii="Aptos" w:hAnsi="Aptos"/>
                <w:b/>
                <w:i w:val="0"/>
                <w:color w:val="FFFFFF"/>
                <w:sz w:val="17"/>
              </w:rPr>
              <w:t>Entity</w:t>
            </w:r>
          </w:p>
        </w:tc>
        <w:tc>
          <w:tcPr>
            <w:tcW w:type="dxa" w:w="3960"/>
            <w:vAlign w:val="center"/>
            <w:tcW w:w="3960" w:type="dxa"/>
            <w:tcMar>
              <w:top w:w="80" w:type="dxa"/>
              <w:start w:w="120" w:type="dxa"/>
              <w:bottom w:w="80" w:type="dxa"/>
              <w:end w:w="120" w:type="dxa"/>
            </w:tcMar>
            <w:shd w:fill="12392F"/>
          </w:tcPr>
          <w:p>
            <w:pPr>
              <w:spacing w:after="0" w:line="252" w:lineRule="auto"/>
            </w:pPr>
            <w:r>
              <w:rPr>
                <w:rFonts w:ascii="Aptos" w:hAnsi="Aptos"/>
                <w:b/>
                <w:i w:val="0"/>
                <w:color w:val="FFFFFF"/>
                <w:sz w:val="17"/>
              </w:rPr>
              <w:t>Purpose</w:t>
            </w:r>
          </w:p>
        </w:tc>
        <w:tc>
          <w:tcPr>
            <w:tcW w:type="dxa" w:w="3744"/>
            <w:vAlign w:val="center"/>
            <w:tcW w:w="3744" w:type="dxa"/>
            <w:tcMar>
              <w:top w:w="80" w:type="dxa"/>
              <w:start w:w="120" w:type="dxa"/>
              <w:bottom w:w="80" w:type="dxa"/>
              <w:end w:w="120" w:type="dxa"/>
            </w:tcMar>
            <w:shd w:fill="12392F"/>
          </w:tcPr>
          <w:p>
            <w:pPr>
              <w:spacing w:after="0" w:line="252" w:lineRule="auto"/>
            </w:pPr>
            <w:r>
              <w:rPr>
                <w:rFonts w:ascii="Aptos" w:hAnsi="Aptos"/>
                <w:b/>
                <w:i w:val="0"/>
                <w:color w:val="FFFFFF"/>
                <w:sz w:val="17"/>
              </w:rPr>
              <w:t>Key relationships</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User</w:t>
            </w:r>
          </w:p>
        </w:tc>
        <w:tc>
          <w:tcPr>
            <w:tcW w:type="dxa" w:w="3960"/>
            <w:vAlign w:val="center"/>
            <w:tcW w:w="3960" w:type="dxa"/>
            <w:tcMar>
              <w:top w:w="80" w:type="dxa"/>
              <w:start w:w="120" w:type="dxa"/>
              <w:bottom w:w="80" w:type="dxa"/>
              <w:end w:w="120" w:type="dxa"/>
            </w:tcMar>
            <w:shd w:fill="FFFFFF"/>
          </w:tcPr>
          <w:p>
            <w:pPr>
              <w:spacing w:after="0" w:line="252" w:lineRule="auto"/>
            </w:pPr>
            <w:r>
              <w:rPr>
                <w:rFonts w:ascii="Aptos" w:hAnsi="Aptos"/>
                <w:b w:val="0"/>
                <w:i w:val="0"/>
                <w:color w:val="10221C"/>
                <w:sz w:val="17"/>
              </w:rPr>
              <w:t>Person and authentication identity.</w:t>
            </w:r>
          </w:p>
        </w:tc>
        <w:tc>
          <w:tcPr>
            <w:tcW w:type="dxa" w:w="3744"/>
            <w:vAlign w:val="center"/>
            <w:tcW w:w="3744" w:type="dxa"/>
            <w:tcMar>
              <w:top w:w="80" w:type="dxa"/>
              <w:start w:w="120" w:type="dxa"/>
              <w:bottom w:w="80" w:type="dxa"/>
              <w:end w:w="120" w:type="dxa"/>
            </w:tcMar>
            <w:shd w:fill="FFFFFF"/>
          </w:tcPr>
          <w:p>
            <w:pPr>
              <w:spacing w:after="0" w:line="252" w:lineRule="auto"/>
            </w:pPr>
            <w:r>
              <w:rPr>
                <w:rFonts w:ascii="Aptos" w:hAnsi="Aptos"/>
                <w:b w:val="0"/>
                <w:i w:val="0"/>
                <w:color w:val="10221C"/>
                <w:sz w:val="17"/>
              </w:rPr>
              <w:t>Memberships, assignments, audit events.</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Workspace</w:t>
            </w:r>
          </w:p>
        </w:tc>
        <w:tc>
          <w:tcPr>
            <w:tcW w:type="dxa" w:w="3960"/>
            <w:vAlign w:val="center"/>
            <w:tcW w:w="3960" w:type="dxa"/>
            <w:tcMar>
              <w:top w:w="80" w:type="dxa"/>
              <w:start w:w="120" w:type="dxa"/>
              <w:bottom w:w="80" w:type="dxa"/>
              <w:end w:w="120" w:type="dxa"/>
            </w:tcMar>
            <w:shd w:fill="F3F5F1"/>
          </w:tcPr>
          <w:p>
            <w:pPr>
              <w:spacing w:after="0" w:line="252" w:lineRule="auto"/>
            </w:pPr>
            <w:r>
              <w:rPr>
                <w:rFonts w:ascii="Aptos" w:hAnsi="Aptos"/>
                <w:b w:val="0"/>
                <w:i w:val="0"/>
                <w:color w:val="10221C"/>
                <w:sz w:val="17"/>
              </w:rPr>
              <w:t>Tenant and billing boundary.</w:t>
            </w:r>
          </w:p>
        </w:tc>
        <w:tc>
          <w:tcPr>
            <w:tcW w:type="dxa" w:w="3744"/>
            <w:vAlign w:val="center"/>
            <w:tcW w:w="3744" w:type="dxa"/>
            <w:tcMar>
              <w:top w:w="80" w:type="dxa"/>
              <w:start w:w="120" w:type="dxa"/>
              <w:bottom w:w="80" w:type="dxa"/>
              <w:end w:w="120" w:type="dxa"/>
            </w:tcMar>
            <w:shd w:fill="F3F5F1"/>
          </w:tcPr>
          <w:p>
            <w:pPr>
              <w:spacing w:after="0" w:line="252" w:lineRule="auto"/>
            </w:pPr>
            <w:r>
              <w:rPr>
                <w:rFonts w:ascii="Aptos" w:hAnsi="Aptos"/>
                <w:b w:val="0"/>
                <w:i w:val="0"/>
                <w:color w:val="10221C"/>
                <w:sz w:val="17"/>
              </w:rPr>
              <w:t>Members, clients, assets, plans.</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Client</w:t>
            </w:r>
          </w:p>
        </w:tc>
        <w:tc>
          <w:tcPr>
            <w:tcW w:type="dxa" w:w="3960"/>
            <w:vAlign w:val="center"/>
            <w:tcW w:w="3960" w:type="dxa"/>
            <w:tcMar>
              <w:top w:w="80" w:type="dxa"/>
              <w:start w:w="120" w:type="dxa"/>
              <w:bottom w:w="80" w:type="dxa"/>
              <w:end w:w="120" w:type="dxa"/>
            </w:tcMar>
            <w:shd w:fill="FFFFFF"/>
          </w:tcPr>
          <w:p>
            <w:pPr>
              <w:spacing w:after="0" w:line="252" w:lineRule="auto"/>
            </w:pPr>
            <w:r>
              <w:rPr>
                <w:rFonts w:ascii="Aptos" w:hAnsi="Aptos"/>
                <w:b w:val="0"/>
                <w:i w:val="0"/>
                <w:color w:val="10221C"/>
                <w:sz w:val="17"/>
              </w:rPr>
              <w:t>Agency-managed customer boundary.</w:t>
            </w:r>
          </w:p>
        </w:tc>
        <w:tc>
          <w:tcPr>
            <w:tcW w:type="dxa" w:w="3744"/>
            <w:vAlign w:val="center"/>
            <w:tcW w:w="3744" w:type="dxa"/>
            <w:tcMar>
              <w:top w:w="80" w:type="dxa"/>
              <w:start w:w="120" w:type="dxa"/>
              <w:bottom w:w="80" w:type="dxa"/>
              <w:end w:w="120" w:type="dxa"/>
            </w:tcMar>
            <w:shd w:fill="FFFFFF"/>
          </w:tcPr>
          <w:p>
            <w:pPr>
              <w:spacing w:after="0" w:line="252" w:lineRule="auto"/>
            </w:pPr>
            <w:r>
              <w:rPr>
                <w:rFonts w:ascii="Aptos" w:hAnsi="Aptos"/>
                <w:b w:val="0"/>
                <w:i w:val="0"/>
                <w:color w:val="10221C"/>
                <w:sz w:val="17"/>
              </w:rPr>
              <w:t>Workspace and assets.</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Asset</w:t>
            </w:r>
          </w:p>
        </w:tc>
        <w:tc>
          <w:tcPr>
            <w:tcW w:type="dxa" w:w="3960"/>
            <w:vAlign w:val="center"/>
            <w:tcW w:w="3960" w:type="dxa"/>
            <w:tcMar>
              <w:top w:w="80" w:type="dxa"/>
              <w:start w:w="120" w:type="dxa"/>
              <w:bottom w:w="80" w:type="dxa"/>
              <w:end w:w="120" w:type="dxa"/>
            </w:tcMar>
            <w:shd w:fill="F3F5F1"/>
          </w:tcPr>
          <w:p>
            <w:pPr>
              <w:spacing w:after="0" w:line="252" w:lineRule="auto"/>
            </w:pPr>
            <w:r>
              <w:rPr>
                <w:rFonts w:ascii="Aptos" w:hAnsi="Aptos"/>
                <w:b w:val="0"/>
                <w:i w:val="0"/>
                <w:color w:val="10221C"/>
                <w:sz w:val="17"/>
              </w:rPr>
              <w:t>Verified domain/site/service.</w:t>
            </w:r>
          </w:p>
        </w:tc>
        <w:tc>
          <w:tcPr>
            <w:tcW w:type="dxa" w:w="3744"/>
            <w:vAlign w:val="center"/>
            <w:tcW w:w="3744" w:type="dxa"/>
            <w:tcMar>
              <w:top w:w="80" w:type="dxa"/>
              <w:start w:w="120" w:type="dxa"/>
              <w:bottom w:w="80" w:type="dxa"/>
              <w:end w:w="120" w:type="dxa"/>
            </w:tcMar>
            <w:shd w:fill="F3F5F1"/>
          </w:tcPr>
          <w:p>
            <w:pPr>
              <w:spacing w:after="0" w:line="252" w:lineRule="auto"/>
            </w:pPr>
            <w:r>
              <w:rPr>
                <w:rFonts w:ascii="Aptos" w:hAnsi="Aptos"/>
                <w:b w:val="0"/>
                <w:i w:val="0"/>
                <w:color w:val="10221C"/>
                <w:sz w:val="17"/>
              </w:rPr>
              <w:t>Verification, scans, findings.</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Verification</w:t>
            </w:r>
          </w:p>
        </w:tc>
        <w:tc>
          <w:tcPr>
            <w:tcW w:type="dxa" w:w="3960"/>
            <w:vAlign w:val="center"/>
            <w:tcW w:w="3960" w:type="dxa"/>
            <w:tcMar>
              <w:top w:w="80" w:type="dxa"/>
              <w:start w:w="120" w:type="dxa"/>
              <w:bottom w:w="80" w:type="dxa"/>
              <w:end w:w="120" w:type="dxa"/>
            </w:tcMar>
            <w:shd w:fill="FFFFFF"/>
          </w:tcPr>
          <w:p>
            <w:pPr>
              <w:spacing w:after="0" w:line="252" w:lineRule="auto"/>
            </w:pPr>
            <w:r>
              <w:rPr>
                <w:rFonts w:ascii="Aptos" w:hAnsi="Aptos"/>
                <w:b w:val="0"/>
                <w:i w:val="0"/>
                <w:color w:val="10221C"/>
                <w:sz w:val="17"/>
              </w:rPr>
              <w:t>Ownership challenge and evidence.</w:t>
            </w:r>
          </w:p>
        </w:tc>
        <w:tc>
          <w:tcPr>
            <w:tcW w:type="dxa" w:w="3744"/>
            <w:vAlign w:val="center"/>
            <w:tcW w:w="3744" w:type="dxa"/>
            <w:tcMar>
              <w:top w:w="80" w:type="dxa"/>
              <w:start w:w="120" w:type="dxa"/>
              <w:bottom w:w="80" w:type="dxa"/>
              <w:end w:w="120" w:type="dxa"/>
            </w:tcMar>
            <w:shd w:fill="FFFFFF"/>
          </w:tcPr>
          <w:p>
            <w:pPr>
              <w:spacing w:after="0" w:line="252" w:lineRule="auto"/>
            </w:pPr>
            <w:r>
              <w:rPr>
                <w:rFonts w:ascii="Aptos" w:hAnsi="Aptos"/>
                <w:b w:val="0"/>
                <w:i w:val="0"/>
                <w:color w:val="10221C"/>
                <w:sz w:val="17"/>
              </w:rPr>
              <w:t>Asset, requester and expiry.</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ScanJob</w:t>
            </w:r>
          </w:p>
        </w:tc>
        <w:tc>
          <w:tcPr>
            <w:tcW w:type="dxa" w:w="3960"/>
            <w:vAlign w:val="center"/>
            <w:tcW w:w="3960" w:type="dxa"/>
            <w:tcMar>
              <w:top w:w="80" w:type="dxa"/>
              <w:start w:w="120" w:type="dxa"/>
              <w:bottom w:w="80" w:type="dxa"/>
              <w:end w:w="120" w:type="dxa"/>
            </w:tcMar>
            <w:shd w:fill="F3F5F1"/>
          </w:tcPr>
          <w:p>
            <w:pPr>
              <w:spacing w:after="0" w:line="252" w:lineRule="auto"/>
            </w:pPr>
            <w:r>
              <w:rPr>
                <w:rFonts w:ascii="Aptos" w:hAnsi="Aptos"/>
                <w:b w:val="0"/>
                <w:i w:val="0"/>
                <w:color w:val="10221C"/>
                <w:sz w:val="17"/>
              </w:rPr>
              <w:t>Requested work and policy snapshot.</w:t>
            </w:r>
          </w:p>
        </w:tc>
        <w:tc>
          <w:tcPr>
            <w:tcW w:type="dxa" w:w="3744"/>
            <w:vAlign w:val="center"/>
            <w:tcW w:w="3744" w:type="dxa"/>
            <w:tcMar>
              <w:top w:w="80" w:type="dxa"/>
              <w:start w:w="120" w:type="dxa"/>
              <w:bottom w:w="80" w:type="dxa"/>
              <w:end w:w="120" w:type="dxa"/>
            </w:tcMar>
            <w:shd w:fill="F3F5F1"/>
          </w:tcPr>
          <w:p>
            <w:pPr>
              <w:spacing w:after="0" w:line="252" w:lineRule="auto"/>
            </w:pPr>
            <w:r>
              <w:rPr>
                <w:rFonts w:ascii="Aptos" w:hAnsi="Aptos"/>
                <w:b w:val="0"/>
                <w:i w:val="0"/>
                <w:color w:val="10221C"/>
                <w:sz w:val="17"/>
              </w:rPr>
              <w:t>Asset, profile and worker run.</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Observation</w:t>
            </w:r>
          </w:p>
        </w:tc>
        <w:tc>
          <w:tcPr>
            <w:tcW w:type="dxa" w:w="3960"/>
            <w:vAlign w:val="center"/>
            <w:tcW w:w="3960" w:type="dxa"/>
            <w:tcMar>
              <w:top w:w="80" w:type="dxa"/>
              <w:start w:w="120" w:type="dxa"/>
              <w:bottom w:w="80" w:type="dxa"/>
              <w:end w:w="120" w:type="dxa"/>
            </w:tcMar>
            <w:shd w:fill="FFFFFF"/>
          </w:tcPr>
          <w:p>
            <w:pPr>
              <w:spacing w:after="0" w:line="252" w:lineRule="auto"/>
            </w:pPr>
            <w:r>
              <w:rPr>
                <w:rFonts w:ascii="Aptos" w:hAnsi="Aptos"/>
                <w:b w:val="0"/>
                <w:i w:val="0"/>
                <w:color w:val="10221C"/>
                <w:sz w:val="17"/>
              </w:rPr>
              <w:t>Immutable normalized evidence.</w:t>
            </w:r>
          </w:p>
        </w:tc>
        <w:tc>
          <w:tcPr>
            <w:tcW w:type="dxa" w:w="3744"/>
            <w:vAlign w:val="center"/>
            <w:tcW w:w="3744" w:type="dxa"/>
            <w:tcMar>
              <w:top w:w="80" w:type="dxa"/>
              <w:start w:w="120" w:type="dxa"/>
              <w:bottom w:w="80" w:type="dxa"/>
              <w:end w:w="120" w:type="dxa"/>
            </w:tcMar>
            <w:shd w:fill="FFFFFF"/>
          </w:tcPr>
          <w:p>
            <w:pPr>
              <w:spacing w:after="0" w:line="252" w:lineRule="auto"/>
            </w:pPr>
            <w:r>
              <w:rPr>
                <w:rFonts w:ascii="Aptos" w:hAnsi="Aptos"/>
                <w:b w:val="0"/>
                <w:i w:val="0"/>
                <w:color w:val="10221C"/>
                <w:sz w:val="17"/>
              </w:rPr>
              <w:t>Scan job and rule evaluation.</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Finding</w:t>
            </w:r>
          </w:p>
        </w:tc>
        <w:tc>
          <w:tcPr>
            <w:tcW w:type="dxa" w:w="3960"/>
            <w:vAlign w:val="center"/>
            <w:tcW w:w="3960" w:type="dxa"/>
            <w:tcMar>
              <w:top w:w="80" w:type="dxa"/>
              <w:start w:w="120" w:type="dxa"/>
              <w:bottom w:w="80" w:type="dxa"/>
              <w:end w:w="120" w:type="dxa"/>
            </w:tcMar>
            <w:shd w:fill="F3F5F1"/>
          </w:tcPr>
          <w:p>
            <w:pPr>
              <w:spacing w:after="0" w:line="252" w:lineRule="auto"/>
            </w:pPr>
            <w:r>
              <w:rPr>
                <w:rFonts w:ascii="Aptos" w:hAnsi="Aptos"/>
                <w:b w:val="0"/>
                <w:i w:val="0"/>
                <w:color w:val="10221C"/>
                <w:sz w:val="17"/>
              </w:rPr>
              <w:t>Deduplicated risk lifecycle.</w:t>
            </w:r>
          </w:p>
        </w:tc>
        <w:tc>
          <w:tcPr>
            <w:tcW w:type="dxa" w:w="3744"/>
            <w:vAlign w:val="center"/>
            <w:tcW w:w="3744" w:type="dxa"/>
            <w:tcMar>
              <w:top w:w="80" w:type="dxa"/>
              <w:start w:w="120" w:type="dxa"/>
              <w:bottom w:w="80" w:type="dxa"/>
              <w:end w:w="120" w:type="dxa"/>
            </w:tcMar>
            <w:shd w:fill="F3F5F1"/>
          </w:tcPr>
          <w:p>
            <w:pPr>
              <w:spacing w:after="0" w:line="252" w:lineRule="auto"/>
            </w:pPr>
            <w:r>
              <w:rPr>
                <w:rFonts w:ascii="Aptos" w:hAnsi="Aptos"/>
                <w:b w:val="0"/>
                <w:i w:val="0"/>
                <w:color w:val="10221C"/>
                <w:sz w:val="17"/>
              </w:rPr>
              <w:t>Asset, rule, observations, owner.</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Remediation</w:t>
            </w:r>
          </w:p>
        </w:tc>
        <w:tc>
          <w:tcPr>
            <w:tcW w:type="dxa" w:w="3960"/>
            <w:vAlign w:val="center"/>
            <w:tcW w:w="3960" w:type="dxa"/>
            <w:tcMar>
              <w:top w:w="80" w:type="dxa"/>
              <w:start w:w="120" w:type="dxa"/>
              <w:bottom w:w="80" w:type="dxa"/>
              <w:end w:w="120" w:type="dxa"/>
            </w:tcMar>
            <w:shd w:fill="FFFFFF"/>
          </w:tcPr>
          <w:p>
            <w:pPr>
              <w:spacing w:after="0" w:line="252" w:lineRule="auto"/>
            </w:pPr>
            <w:r>
              <w:rPr>
                <w:rFonts w:ascii="Aptos" w:hAnsi="Aptos"/>
                <w:b w:val="0"/>
                <w:i w:val="0"/>
                <w:color w:val="10221C"/>
                <w:sz w:val="17"/>
              </w:rPr>
              <w:t>Action, due date and verification trail.</w:t>
            </w:r>
          </w:p>
        </w:tc>
        <w:tc>
          <w:tcPr>
            <w:tcW w:type="dxa" w:w="3744"/>
            <w:vAlign w:val="center"/>
            <w:tcW w:w="3744" w:type="dxa"/>
            <w:tcMar>
              <w:top w:w="80" w:type="dxa"/>
              <w:start w:w="120" w:type="dxa"/>
              <w:bottom w:w="80" w:type="dxa"/>
              <w:end w:w="120" w:type="dxa"/>
            </w:tcMar>
            <w:shd w:fill="FFFFFF"/>
          </w:tcPr>
          <w:p>
            <w:pPr>
              <w:spacing w:after="0" w:line="252" w:lineRule="auto"/>
            </w:pPr>
            <w:r>
              <w:rPr>
                <w:rFonts w:ascii="Aptos" w:hAnsi="Aptos"/>
                <w:b w:val="0"/>
                <w:i w:val="0"/>
                <w:color w:val="10221C"/>
                <w:sz w:val="17"/>
              </w:rPr>
              <w:t>Finding and assignee.</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Notification</w:t>
            </w:r>
          </w:p>
        </w:tc>
        <w:tc>
          <w:tcPr>
            <w:tcW w:type="dxa" w:w="3960"/>
            <w:vAlign w:val="center"/>
            <w:tcW w:w="3960" w:type="dxa"/>
            <w:tcMar>
              <w:top w:w="80" w:type="dxa"/>
              <w:start w:w="120" w:type="dxa"/>
              <w:bottom w:w="80" w:type="dxa"/>
              <w:end w:w="120" w:type="dxa"/>
            </w:tcMar>
            <w:shd w:fill="F3F5F1"/>
          </w:tcPr>
          <w:p>
            <w:pPr>
              <w:spacing w:after="0" w:line="252" w:lineRule="auto"/>
            </w:pPr>
            <w:r>
              <w:rPr>
                <w:rFonts w:ascii="Aptos" w:hAnsi="Aptos"/>
                <w:b w:val="0"/>
                <w:i w:val="0"/>
                <w:color w:val="10221C"/>
                <w:sz w:val="17"/>
              </w:rPr>
              <w:t>Delivery intent/result.</w:t>
            </w:r>
          </w:p>
        </w:tc>
        <w:tc>
          <w:tcPr>
            <w:tcW w:type="dxa" w:w="3744"/>
            <w:vAlign w:val="center"/>
            <w:tcW w:w="3744" w:type="dxa"/>
            <w:tcMar>
              <w:top w:w="80" w:type="dxa"/>
              <w:start w:w="120" w:type="dxa"/>
              <w:bottom w:w="80" w:type="dxa"/>
              <w:end w:w="120" w:type="dxa"/>
            </w:tcMar>
            <w:shd w:fill="F3F5F1"/>
          </w:tcPr>
          <w:p>
            <w:pPr>
              <w:spacing w:after="0" w:line="252" w:lineRule="auto"/>
            </w:pPr>
            <w:r>
              <w:rPr>
                <w:rFonts w:ascii="Aptos" w:hAnsi="Aptos"/>
                <w:b w:val="0"/>
                <w:i w:val="0"/>
                <w:color w:val="10221C"/>
                <w:sz w:val="17"/>
              </w:rPr>
              <w:t>User, event and channel.</w:t>
            </w:r>
          </w:p>
        </w:tc>
      </w:tr>
      <w:tr>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t>AuditEvent</w:t>
            </w:r>
          </w:p>
        </w:tc>
        <w:tc>
          <w:tcPr>
            <w:tcW w:type="dxa" w:w="3960"/>
            <w:vAlign w:val="center"/>
            <w:tcW w:w="3960" w:type="dxa"/>
            <w:tcMar>
              <w:top w:w="80" w:type="dxa"/>
              <w:start w:w="120" w:type="dxa"/>
              <w:bottom w:w="80" w:type="dxa"/>
              <w:end w:w="120" w:type="dxa"/>
            </w:tcMar>
            <w:shd w:fill="FFFFFF"/>
          </w:tcPr>
          <w:p>
            <w:pPr>
              <w:spacing w:after="0" w:line="252" w:lineRule="auto"/>
            </w:pPr>
            <w:r>
              <w:rPr>
                <w:rFonts w:ascii="Aptos" w:hAnsi="Aptos"/>
                <w:b w:val="0"/>
                <w:i w:val="0"/>
                <w:color w:val="10221C"/>
                <w:sz w:val="17"/>
              </w:rPr>
              <w:t>Security/accountability record.</w:t>
            </w:r>
          </w:p>
        </w:tc>
        <w:tc>
          <w:tcPr>
            <w:tcW w:type="dxa" w:w="3744"/>
            <w:vAlign w:val="center"/>
            <w:tcW w:w="3744" w:type="dxa"/>
            <w:tcMar>
              <w:top w:w="80" w:type="dxa"/>
              <w:start w:w="120" w:type="dxa"/>
              <w:bottom w:w="80" w:type="dxa"/>
              <w:end w:w="120" w:type="dxa"/>
            </w:tcMar>
            <w:shd w:fill="FFFFFF"/>
          </w:tcPr>
          <w:p>
            <w:pPr>
              <w:spacing w:after="0" w:line="252" w:lineRule="auto"/>
            </w:pPr>
            <w:r>
              <w:rPr>
                <w:rFonts w:ascii="Aptos" w:hAnsi="Aptos"/>
                <w:b w:val="0"/>
                <w:i w:val="0"/>
                <w:color w:val="10221C"/>
                <w:sz w:val="17"/>
              </w:rPr>
              <w:t>Actor, workspace, target.</w:t>
            </w:r>
          </w:p>
        </w:tc>
      </w:tr>
      <w:tr>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t>RuleVersion</w:t>
            </w:r>
          </w:p>
        </w:tc>
        <w:tc>
          <w:tcPr>
            <w:tcW w:type="dxa" w:w="3960"/>
            <w:vAlign w:val="center"/>
            <w:tcW w:w="3960" w:type="dxa"/>
            <w:tcMar>
              <w:top w:w="80" w:type="dxa"/>
              <w:start w:w="120" w:type="dxa"/>
              <w:bottom w:w="80" w:type="dxa"/>
              <w:end w:w="120" w:type="dxa"/>
            </w:tcMar>
            <w:shd w:fill="F3F5F1"/>
          </w:tcPr>
          <w:p>
            <w:pPr>
              <w:spacing w:after="0" w:line="252" w:lineRule="auto"/>
            </w:pPr>
            <w:r>
              <w:rPr>
                <w:rFonts w:ascii="Aptos" w:hAnsi="Aptos"/>
                <w:b w:val="0"/>
                <w:i w:val="0"/>
                <w:color w:val="10221C"/>
                <w:sz w:val="17"/>
              </w:rPr>
              <w:t>Detection and scoring logic metadata.</w:t>
            </w:r>
          </w:p>
        </w:tc>
        <w:tc>
          <w:tcPr>
            <w:tcW w:type="dxa" w:w="3744"/>
            <w:vAlign w:val="center"/>
            <w:tcW w:w="3744" w:type="dxa"/>
            <w:tcMar>
              <w:top w:w="80" w:type="dxa"/>
              <w:start w:w="120" w:type="dxa"/>
              <w:bottom w:w="80" w:type="dxa"/>
              <w:end w:w="120" w:type="dxa"/>
            </w:tcMar>
            <w:shd w:fill="F3F5F1"/>
          </w:tcPr>
          <w:p>
            <w:pPr>
              <w:spacing w:after="0" w:line="252" w:lineRule="auto"/>
            </w:pPr>
            <w:r>
              <w:rPr>
                <w:rFonts w:ascii="Aptos" w:hAnsi="Aptos"/>
                <w:b w:val="0"/>
                <w:i w:val="0"/>
                <w:color w:val="10221C"/>
                <w:sz w:val="17"/>
              </w:rPr>
              <w:t>Observations and findings.</w:t>
            </w:r>
          </w:p>
        </w:tc>
      </w:tr>
    </w:tbl>
    <w:p>
      <w:pPr>
        <w:spacing w:after="40"/>
      </w:pPr>
    </w:p>
    <w:p>
      <w:pPr>
        <w:pStyle w:val="Heading2"/>
      </w:pPr>
      <w:r>
        <w:t>9.2 API principles</w:t>
      </w:r>
    </w:p>
    <w:p>
      <w:pPr>
        <w:pStyle w:val="ListBullet"/>
      </w:pPr>
      <w:r>
        <w:rPr>
          <w:rFonts w:ascii="Aptos" w:hAnsi="Aptos"/>
          <w:b w:val="0"/>
          <w:i w:val="0"/>
          <w:color w:val="10221C"/>
          <w:sz w:val="22"/>
        </w:rPr>
        <w:t>REST/OpenAPI first; resource-oriented endpoints under /v1.</w:t>
      </w:r>
    </w:p>
    <w:p>
      <w:pPr>
        <w:pStyle w:val="ListBullet"/>
      </w:pPr>
      <w:r>
        <w:rPr>
          <w:rFonts w:ascii="Aptos" w:hAnsi="Aptos"/>
          <w:b w:val="0"/>
          <w:i w:val="0"/>
          <w:color w:val="10221C"/>
          <w:sz w:val="22"/>
        </w:rPr>
        <w:t>Opaque identifiers; cursor pagination; ISO 8601 UTC timestamps.</w:t>
      </w:r>
    </w:p>
    <w:p>
      <w:pPr>
        <w:pStyle w:val="ListBullet"/>
      </w:pPr>
      <w:r>
        <w:rPr>
          <w:rFonts w:ascii="Aptos" w:hAnsi="Aptos"/>
          <w:b w:val="0"/>
          <w:i w:val="0"/>
          <w:color w:val="10221C"/>
          <w:sz w:val="22"/>
        </w:rPr>
        <w:t>Idempotency keys on job creation, billing and high-impact mutations.</w:t>
      </w:r>
    </w:p>
    <w:p>
      <w:pPr>
        <w:pStyle w:val="ListBullet"/>
      </w:pPr>
      <w:r>
        <w:rPr>
          <w:rFonts w:ascii="Aptos" w:hAnsi="Aptos"/>
          <w:b w:val="0"/>
          <w:i w:val="0"/>
          <w:color w:val="10221C"/>
          <w:sz w:val="22"/>
        </w:rPr>
        <w:t>Consistent problem-details errors with request correlation IDs.</w:t>
      </w:r>
    </w:p>
    <w:p>
      <w:pPr>
        <w:pStyle w:val="ListBullet"/>
      </w:pPr>
      <w:r>
        <w:rPr>
          <w:rFonts w:ascii="Aptos" w:hAnsi="Aptos"/>
          <w:b w:val="0"/>
          <w:i w:val="0"/>
          <w:color w:val="10221C"/>
          <w:sz w:val="22"/>
        </w:rPr>
        <w:t>Strict validation, content-size limits and explicit authorization middleware.</w:t>
      </w:r>
    </w:p>
    <w:p>
      <w:pPr>
        <w:pStyle w:val="ListBullet"/>
      </w:pPr>
      <w:r>
        <w:rPr>
          <w:rFonts w:ascii="Aptos" w:hAnsi="Aptos"/>
          <w:b w:val="0"/>
          <w:i w:val="0"/>
          <w:color w:val="10221C"/>
          <w:sz w:val="22"/>
        </w:rPr>
        <w:t>Signed, replay-resistant webhooks with retry and delivery history.</w:t>
      </w:r>
    </w:p>
    <w:p>
      <w:pPr>
        <w:pStyle w:val="Heading2"/>
      </w:pPr>
      <w:r>
        <w:t>9.3 Initial endpoint groups</w:t>
      </w:r>
    </w:p>
    <w:p>
      <w:r>
        <w:rPr>
          <w:rFonts w:ascii="Aptos" w:hAnsi="Aptos"/>
          <w:b w:val="0"/>
          <w:i w:val="0"/>
          <w:color w:val="10221C"/>
          <w:sz w:val="22"/>
        </w:rPr>
        <w:t>/auth and identity callbacks; /workspaces; /memberships; /clients; /assets; /verifications; /scans; /findings; /remediations; /reports; /notifications; /integrations; /audit-events; /billing; /webhooks. Administrative endpoints live on a separate internal surface.</w:t>
      </w:r>
    </w:p>
    <w:p>
      <w:pPr>
        <w:pStyle w:val="Heading1"/>
      </w:pPr>
      <w:r>
        <w:t>10. Delivery roadmap</w:t>
      </w:r>
    </w:p>
    <w:p>
      <w:pPr>
        <w:pStyle w:val="Callout"/>
        <w:shd w:fill="EAF3E7"/>
        <w:spacing w:before="170" w:after="170"/>
      </w:pPr>
      <w:r>
        <w:rPr>
          <w:rFonts w:ascii="Aptos" w:hAnsi="Aptos"/>
          <w:b/>
          <w:i w:val="0"/>
          <w:color w:val="12392F"/>
          <w:sz w:val="19"/>
        </w:rPr>
        <w:t xml:space="preserve">PLANNING RULE  </w:t>
      </w:r>
      <w:r>
        <w:rPr>
          <w:rFonts w:ascii="Aptos" w:hAnsi="Aptos"/>
          <w:b w:val="0"/>
          <w:i w:val="0"/>
          <w:color w:val="10221C"/>
          <w:sz w:val="21"/>
        </w:rPr>
        <w:t>Dates are forecasts set after discovery and capacity review. Scope gates are fixed; calendar promises are not made before the team can estimate from evidence.</w:t>
      </w:r>
    </w:p>
    <w:tbl>
      <w:tblPr>
        <w:tblW w:type="auto" w:w="0"/>
        <w:jc w:val="left"/>
        <w:tblLayout w:type="fixed"/>
        <w:tblLook w:firstColumn="1" w:firstRow="1" w:lastColumn="0" w:lastRow="0" w:noHBand="0" w:noVBand="1" w:val="04A0"/>
        <w:tblW w:w="9360" w:type="dxa"/>
        <w:tblInd w:w="120" w:type="dxa"/>
      </w:tblPr>
      <w:tblGrid>
        <w:gridCol w:w="1728"/>
        <w:gridCol w:w="4896"/>
        <w:gridCol w:w="2736"/>
      </w:tblGrid>
      <w:tr>
        <w:trPr>
          <w:tblHeader w:val="true"/>
        </w:trPr>
        <w:tc>
          <w:tcPr>
            <w:tcW w:type="dxa" w:w="1728"/>
            <w:vAlign w:val="center"/>
            <w:tcW w:w="1728" w:type="dxa"/>
            <w:tcMar>
              <w:top w:w="80" w:type="dxa"/>
              <w:start w:w="120" w:type="dxa"/>
              <w:bottom w:w="80" w:type="dxa"/>
              <w:end w:w="120" w:type="dxa"/>
            </w:tcMar>
            <w:shd w:fill="12392F"/>
          </w:tcPr>
          <w:p>
            <w:pPr>
              <w:spacing w:after="0" w:line="252" w:lineRule="auto"/>
            </w:pPr>
            <w:r>
              <w:rPr>
                <w:rFonts w:ascii="Aptos" w:hAnsi="Aptos"/>
                <w:b/>
                <w:i w:val="0"/>
                <w:color w:val="FFFFFF"/>
                <w:sz w:val="17"/>
              </w:rPr>
              <w:t>Phase</w:t>
            </w:r>
          </w:p>
        </w:tc>
        <w:tc>
          <w:tcPr>
            <w:tcW w:type="dxa" w:w="4896"/>
            <w:vAlign w:val="center"/>
            <w:tcW w:w="4896" w:type="dxa"/>
            <w:tcMar>
              <w:top w:w="80" w:type="dxa"/>
              <w:start w:w="120" w:type="dxa"/>
              <w:bottom w:w="80" w:type="dxa"/>
              <w:end w:w="120" w:type="dxa"/>
            </w:tcMar>
            <w:shd w:fill="12392F"/>
          </w:tcPr>
          <w:p>
            <w:pPr>
              <w:spacing w:after="0" w:line="252" w:lineRule="auto"/>
            </w:pPr>
            <w:r>
              <w:rPr>
                <w:rFonts w:ascii="Aptos" w:hAnsi="Aptos"/>
                <w:b/>
                <w:i w:val="0"/>
                <w:color w:val="FFFFFF"/>
                <w:sz w:val="17"/>
              </w:rPr>
              <w:t>Outcome</w:t>
            </w:r>
          </w:p>
        </w:tc>
        <w:tc>
          <w:tcPr>
            <w:tcW w:type="dxa" w:w="2736"/>
            <w:vAlign w:val="center"/>
            <w:tcW w:w="2736" w:type="dxa"/>
            <w:tcMar>
              <w:top w:w="80" w:type="dxa"/>
              <w:start w:w="120" w:type="dxa"/>
              <w:bottom w:w="80" w:type="dxa"/>
              <w:end w:w="120" w:type="dxa"/>
            </w:tcMar>
            <w:shd w:fill="12392F"/>
          </w:tcPr>
          <w:p>
            <w:pPr>
              <w:spacing w:after="0" w:line="252" w:lineRule="auto"/>
            </w:pPr>
            <w:r>
              <w:rPr>
                <w:rFonts w:ascii="Aptos" w:hAnsi="Aptos"/>
                <w:b/>
                <w:i w:val="0"/>
                <w:color w:val="FFFFFF"/>
                <w:sz w:val="17"/>
              </w:rPr>
              <w:t>Exit gate</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0 — Discovery</w:t>
            </w:r>
          </w:p>
        </w:tc>
        <w:tc>
          <w:tcPr>
            <w:tcW w:type="dxa" w:w="4896"/>
            <w:vAlign w:val="center"/>
            <w:tcW w:w="4896" w:type="dxa"/>
            <w:tcMar>
              <w:top w:w="80" w:type="dxa"/>
              <w:start w:w="120" w:type="dxa"/>
              <w:bottom w:w="80" w:type="dxa"/>
              <w:end w:w="120" w:type="dxa"/>
            </w:tcMar>
            <w:shd w:fill="FFFFFF"/>
          </w:tcPr>
          <w:p>
            <w:pPr>
              <w:spacing w:after="0" w:line="252" w:lineRule="auto"/>
            </w:pPr>
            <w:r>
              <w:rPr>
                <w:rFonts w:ascii="Aptos" w:hAnsi="Aptos"/>
                <w:b w:val="0"/>
                <w:i w:val="0"/>
                <w:color w:val="10221C"/>
                <w:sz w:val="17"/>
              </w:rPr>
              <w:t>10–20 interviews; target segment and willingness-to-pay evidence.</w:t>
            </w:r>
          </w:p>
        </w:tc>
        <w:tc>
          <w:tcPr>
            <w:tcW w:type="dxa" w:w="2736"/>
            <w:vAlign w:val="center"/>
            <w:tcW w:w="2736" w:type="dxa"/>
            <w:tcMar>
              <w:top w:w="80" w:type="dxa"/>
              <w:start w:w="120" w:type="dxa"/>
              <w:bottom w:w="80" w:type="dxa"/>
              <w:end w:w="120" w:type="dxa"/>
            </w:tcMar>
            <w:shd w:fill="FFFFFF"/>
          </w:tcPr>
          <w:p>
            <w:pPr>
              <w:spacing w:after="0" w:line="252" w:lineRule="auto"/>
            </w:pPr>
            <w:r>
              <w:rPr>
                <w:rFonts w:ascii="Aptos" w:hAnsi="Aptos"/>
                <w:b w:val="0"/>
                <w:i w:val="0"/>
                <w:color w:val="10221C"/>
                <w:sz w:val="17"/>
              </w:rPr>
              <w:t>Problem brief, risk register and design partner.</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1 — Foundation</w:t>
            </w:r>
          </w:p>
        </w:tc>
        <w:tc>
          <w:tcPr>
            <w:tcW w:type="dxa" w:w="4896"/>
            <w:vAlign w:val="center"/>
            <w:tcW w:w="4896" w:type="dxa"/>
            <w:tcMar>
              <w:top w:w="80" w:type="dxa"/>
              <w:start w:w="120" w:type="dxa"/>
              <w:bottom w:w="80" w:type="dxa"/>
              <w:end w:w="120" w:type="dxa"/>
            </w:tcMar>
            <w:shd w:fill="F3F5F1"/>
          </w:tcPr>
          <w:p>
            <w:pPr>
              <w:spacing w:after="0" w:line="252" w:lineRule="auto"/>
            </w:pPr>
            <w:r>
              <w:rPr>
                <w:rFonts w:ascii="Aptos" w:hAnsi="Aptos"/>
                <w:b w:val="0"/>
                <w:i w:val="0"/>
                <w:color w:val="10221C"/>
                <w:sz w:val="17"/>
              </w:rPr>
              <w:t>Production repo, design system, CI, architecture skeleton and threat model.</w:t>
            </w:r>
          </w:p>
        </w:tc>
        <w:tc>
          <w:tcPr>
            <w:tcW w:type="dxa" w:w="2736"/>
            <w:vAlign w:val="center"/>
            <w:tcW w:w="2736" w:type="dxa"/>
            <w:tcMar>
              <w:top w:w="80" w:type="dxa"/>
              <w:start w:w="120" w:type="dxa"/>
              <w:bottom w:w="80" w:type="dxa"/>
              <w:end w:w="120" w:type="dxa"/>
            </w:tcMar>
            <w:shd w:fill="F3F5F1"/>
          </w:tcPr>
          <w:p>
            <w:pPr>
              <w:spacing w:after="0" w:line="252" w:lineRule="auto"/>
            </w:pPr>
            <w:r>
              <w:rPr>
                <w:rFonts w:ascii="Aptos" w:hAnsi="Aptos"/>
                <w:b w:val="0"/>
                <w:i w:val="0"/>
                <w:color w:val="10221C"/>
                <w:sz w:val="17"/>
              </w:rPr>
              <w:t>ADR set, staging environment and security baseline.</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2 — Private MVP</w:t>
            </w:r>
          </w:p>
        </w:tc>
        <w:tc>
          <w:tcPr>
            <w:tcW w:type="dxa" w:w="4896"/>
            <w:vAlign w:val="center"/>
            <w:tcW w:w="4896" w:type="dxa"/>
            <w:tcMar>
              <w:top w:w="80" w:type="dxa"/>
              <w:start w:w="120" w:type="dxa"/>
              <w:bottom w:w="80" w:type="dxa"/>
              <w:end w:w="120" w:type="dxa"/>
            </w:tcMar>
            <w:shd w:fill="FFFFFF"/>
          </w:tcPr>
          <w:p>
            <w:pPr>
              <w:spacing w:after="0" w:line="252" w:lineRule="auto"/>
            </w:pPr>
            <w:r>
              <w:rPr>
                <w:rFonts w:ascii="Aptos" w:hAnsi="Aptos"/>
                <w:b w:val="0"/>
                <w:i w:val="0"/>
                <w:color w:val="10221C"/>
                <w:sz w:val="17"/>
              </w:rPr>
              <w:t>Verified assets, safe scans, findings and manual rescan for 3–5 partners.</w:t>
            </w:r>
          </w:p>
        </w:tc>
        <w:tc>
          <w:tcPr>
            <w:tcW w:type="dxa" w:w="2736"/>
            <w:vAlign w:val="center"/>
            <w:tcW w:w="2736" w:type="dxa"/>
            <w:tcMar>
              <w:top w:w="80" w:type="dxa"/>
              <w:start w:w="120" w:type="dxa"/>
              <w:bottom w:w="80" w:type="dxa"/>
              <w:end w:w="120" w:type="dxa"/>
            </w:tcMar>
            <w:shd w:fill="FFFFFF"/>
          </w:tcPr>
          <w:p>
            <w:pPr>
              <w:spacing w:after="0" w:line="252" w:lineRule="auto"/>
            </w:pPr>
            <w:r>
              <w:rPr>
                <w:rFonts w:ascii="Aptos" w:hAnsi="Aptos"/>
                <w:b w:val="0"/>
                <w:i w:val="0"/>
                <w:color w:val="10221C"/>
                <w:sz w:val="17"/>
              </w:rPr>
              <w:t>Useful results; no critical unresolved product-security issue.</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3 — Private beta</w:t>
            </w:r>
          </w:p>
        </w:tc>
        <w:tc>
          <w:tcPr>
            <w:tcW w:type="dxa" w:w="4896"/>
            <w:vAlign w:val="center"/>
            <w:tcW w:w="4896" w:type="dxa"/>
            <w:tcMar>
              <w:top w:w="80" w:type="dxa"/>
              <w:start w:w="120" w:type="dxa"/>
              <w:bottom w:w="80" w:type="dxa"/>
              <w:end w:w="120" w:type="dxa"/>
            </w:tcMar>
            <w:shd w:fill="F3F5F1"/>
          </w:tcPr>
          <w:p>
            <w:pPr>
              <w:spacing w:after="0" w:line="252" w:lineRule="auto"/>
            </w:pPr>
            <w:r>
              <w:rPr>
                <w:rFonts w:ascii="Aptos" w:hAnsi="Aptos"/>
                <w:b w:val="0"/>
                <w:i w:val="0"/>
                <w:color w:val="10221C"/>
                <w:sz w:val="17"/>
              </w:rPr>
              <w:t>Accounts, scheduling, history, alerts, remediation and agency workspace.</w:t>
            </w:r>
          </w:p>
        </w:tc>
        <w:tc>
          <w:tcPr>
            <w:tcW w:type="dxa" w:w="2736"/>
            <w:vAlign w:val="center"/>
            <w:tcW w:w="2736" w:type="dxa"/>
            <w:tcMar>
              <w:top w:w="80" w:type="dxa"/>
              <w:start w:w="120" w:type="dxa"/>
              <w:bottom w:w="80" w:type="dxa"/>
              <w:end w:w="120" w:type="dxa"/>
            </w:tcMar>
            <w:shd w:fill="F3F5F1"/>
          </w:tcPr>
          <w:p>
            <w:pPr>
              <w:spacing w:after="0" w:line="252" w:lineRule="auto"/>
            </w:pPr>
            <w:r>
              <w:rPr>
                <w:rFonts w:ascii="Aptos" w:hAnsi="Aptos"/>
                <w:b w:val="0"/>
                <w:i w:val="0"/>
                <w:color w:val="10221C"/>
                <w:sz w:val="17"/>
              </w:rPr>
              <w:t>10 active organizations; reliability and feedback gates.</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4 — Public V1</w:t>
            </w:r>
          </w:p>
        </w:tc>
        <w:tc>
          <w:tcPr>
            <w:tcW w:type="dxa" w:w="4896"/>
            <w:vAlign w:val="center"/>
            <w:tcW w:w="4896" w:type="dxa"/>
            <w:tcMar>
              <w:top w:w="80" w:type="dxa"/>
              <w:start w:w="120" w:type="dxa"/>
              <w:bottom w:w="80" w:type="dxa"/>
              <w:end w:w="120" w:type="dxa"/>
            </w:tcMar>
            <w:shd w:fill="FFFFFF"/>
          </w:tcPr>
          <w:p>
            <w:pPr>
              <w:spacing w:after="0" w:line="252" w:lineRule="auto"/>
            </w:pPr>
            <w:r>
              <w:rPr>
                <w:rFonts w:ascii="Aptos" w:hAnsi="Aptos"/>
                <w:b w:val="0"/>
                <w:i w:val="0"/>
                <w:color w:val="10221C"/>
                <w:sz w:val="17"/>
              </w:rPr>
              <w:t>Billing, reports, trust centre, support and production operations.</w:t>
            </w:r>
          </w:p>
        </w:tc>
        <w:tc>
          <w:tcPr>
            <w:tcW w:type="dxa" w:w="2736"/>
            <w:vAlign w:val="center"/>
            <w:tcW w:w="2736" w:type="dxa"/>
            <w:tcMar>
              <w:top w:w="80" w:type="dxa"/>
              <w:start w:w="120" w:type="dxa"/>
              <w:bottom w:w="80" w:type="dxa"/>
              <w:end w:w="120" w:type="dxa"/>
            </w:tcMar>
            <w:shd w:fill="FFFFFF"/>
          </w:tcPr>
          <w:p>
            <w:pPr>
              <w:spacing w:after="0" w:line="252" w:lineRule="auto"/>
            </w:pPr>
            <w:r>
              <w:rPr>
                <w:rFonts w:ascii="Aptos" w:hAnsi="Aptos"/>
                <w:b w:val="0"/>
                <w:i w:val="0"/>
                <w:color w:val="10221C"/>
                <w:sz w:val="17"/>
              </w:rPr>
              <w:t>All Release-One completion criteria pass.</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5 — V1.x</w:t>
            </w:r>
          </w:p>
        </w:tc>
        <w:tc>
          <w:tcPr>
            <w:tcW w:type="dxa" w:w="4896"/>
            <w:vAlign w:val="center"/>
            <w:tcW w:w="4896" w:type="dxa"/>
            <w:tcMar>
              <w:top w:w="80" w:type="dxa"/>
              <w:start w:w="120" w:type="dxa"/>
              <w:bottom w:w="80" w:type="dxa"/>
              <w:end w:w="120" w:type="dxa"/>
            </w:tcMar>
            <w:shd w:fill="F3F5F1"/>
          </w:tcPr>
          <w:p>
            <w:pPr>
              <w:spacing w:after="0" w:line="252" w:lineRule="auto"/>
            </w:pPr>
            <w:r>
              <w:rPr>
                <w:rFonts w:ascii="Aptos" w:hAnsi="Aptos"/>
                <w:b w:val="0"/>
                <w:i w:val="0"/>
                <w:color w:val="10221C"/>
                <w:sz w:val="17"/>
              </w:rPr>
              <w:t>Rule quality, Kiswahili, PWA, integrations and commercial optimization.</w:t>
            </w:r>
          </w:p>
        </w:tc>
        <w:tc>
          <w:tcPr>
            <w:tcW w:type="dxa" w:w="2736"/>
            <w:vAlign w:val="center"/>
            <w:tcW w:w="2736" w:type="dxa"/>
            <w:tcMar>
              <w:top w:w="80" w:type="dxa"/>
              <w:start w:w="120" w:type="dxa"/>
              <w:bottom w:w="80" w:type="dxa"/>
              <w:end w:w="120" w:type="dxa"/>
            </w:tcMar>
            <w:shd w:fill="F3F5F1"/>
          </w:tcPr>
          <w:p>
            <w:pPr>
              <w:spacing w:after="0" w:line="252" w:lineRule="auto"/>
            </w:pPr>
            <w:r>
              <w:rPr>
                <w:rFonts w:ascii="Aptos" w:hAnsi="Aptos"/>
                <w:b w:val="0"/>
                <w:i w:val="0"/>
                <w:color w:val="10221C"/>
                <w:sz w:val="17"/>
              </w:rPr>
              <w:t>Retention and remediation metrics improve.</w:t>
            </w:r>
          </w:p>
        </w:tc>
      </w:tr>
      <w:tr>
        <w:tc>
          <w:tcPr>
            <w:tcW w:type="dxa" w:w="1728"/>
            <w:vAlign w:val="center"/>
            <w:tcW w:w="1728" w:type="dxa"/>
            <w:tcMar>
              <w:top w:w="80" w:type="dxa"/>
              <w:start w:w="120" w:type="dxa"/>
              <w:bottom w:w="80" w:type="dxa"/>
              <w:end w:w="120" w:type="dxa"/>
            </w:tcMar>
            <w:shd w:fill="FFFFFF"/>
          </w:tcPr>
          <w:p>
            <w:pPr>
              <w:spacing w:after="0" w:line="252" w:lineRule="auto"/>
            </w:pPr>
            <w:r>
              <w:rPr>
                <w:rFonts w:ascii="Aptos" w:hAnsi="Aptos"/>
                <w:b w:val="0"/>
                <w:i w:val="0"/>
                <w:color w:val="10221C"/>
                <w:sz w:val="17"/>
              </w:rPr>
              <w:t>6 — V2 perimeter</w:t>
            </w:r>
          </w:p>
        </w:tc>
        <w:tc>
          <w:tcPr>
            <w:tcW w:type="dxa" w:w="4896"/>
            <w:vAlign w:val="center"/>
            <w:tcW w:w="4896" w:type="dxa"/>
            <w:tcMar>
              <w:top w:w="80" w:type="dxa"/>
              <w:start w:w="120" w:type="dxa"/>
              <w:bottom w:w="80" w:type="dxa"/>
              <w:end w:w="120" w:type="dxa"/>
            </w:tcMar>
            <w:shd w:fill="FFFFFF"/>
          </w:tcPr>
          <w:p>
            <w:pPr>
              <w:spacing w:after="0" w:line="252" w:lineRule="auto"/>
            </w:pPr>
            <w:r>
              <w:rPr>
                <w:rFonts w:ascii="Aptos" w:hAnsi="Aptos"/>
                <w:b w:val="0"/>
                <w:i w:val="0"/>
                <w:color w:val="10221C"/>
                <w:sz w:val="17"/>
              </w:rPr>
              <w:t>Subdomain discovery, approved service exposure and impersonation workflows.</w:t>
            </w:r>
          </w:p>
        </w:tc>
        <w:tc>
          <w:tcPr>
            <w:tcW w:type="dxa" w:w="2736"/>
            <w:vAlign w:val="center"/>
            <w:tcW w:w="2736" w:type="dxa"/>
            <w:tcMar>
              <w:top w:w="80" w:type="dxa"/>
              <w:start w:w="120" w:type="dxa"/>
              <w:bottom w:w="80" w:type="dxa"/>
              <w:end w:w="120" w:type="dxa"/>
            </w:tcMar>
            <w:shd w:fill="FFFFFF"/>
          </w:tcPr>
          <w:p>
            <w:pPr>
              <w:spacing w:after="0" w:line="252" w:lineRule="auto"/>
            </w:pPr>
            <w:r>
              <w:rPr>
                <w:rFonts w:ascii="Aptos" w:hAnsi="Aptos"/>
                <w:b w:val="0"/>
                <w:i w:val="0"/>
                <w:color w:val="10221C"/>
                <w:sz w:val="17"/>
              </w:rPr>
              <w:t>Expanded authorization and legal/safety review.</w:t>
            </w:r>
          </w:p>
        </w:tc>
      </w:tr>
      <w:tr>
        <w:tc>
          <w:tcPr>
            <w:tcW w:type="dxa" w:w="1728"/>
            <w:vAlign w:val="center"/>
            <w:tcW w:w="1728" w:type="dxa"/>
            <w:tcMar>
              <w:top w:w="80" w:type="dxa"/>
              <w:start w:w="120" w:type="dxa"/>
              <w:bottom w:w="80" w:type="dxa"/>
              <w:end w:w="120" w:type="dxa"/>
            </w:tcMar>
            <w:shd w:fill="F3F5F1"/>
          </w:tcPr>
          <w:p>
            <w:pPr>
              <w:spacing w:after="0" w:line="252" w:lineRule="auto"/>
            </w:pPr>
            <w:r>
              <w:rPr>
                <w:rFonts w:ascii="Aptos" w:hAnsi="Aptos"/>
                <w:b w:val="0"/>
                <w:i w:val="0"/>
                <w:color w:val="10221C"/>
                <w:sz w:val="17"/>
              </w:rPr>
              <w:t>7 — Regional scale</w:t>
            </w:r>
          </w:p>
        </w:tc>
        <w:tc>
          <w:tcPr>
            <w:tcW w:type="dxa" w:w="4896"/>
            <w:vAlign w:val="center"/>
            <w:tcW w:w="4896" w:type="dxa"/>
            <w:tcMar>
              <w:top w:w="80" w:type="dxa"/>
              <w:start w:w="120" w:type="dxa"/>
              <w:bottom w:w="80" w:type="dxa"/>
              <w:end w:w="120" w:type="dxa"/>
            </w:tcMar>
            <w:shd w:fill="F3F5F1"/>
          </w:tcPr>
          <w:p>
            <w:pPr>
              <w:spacing w:after="0" w:line="252" w:lineRule="auto"/>
            </w:pPr>
            <w:r>
              <w:rPr>
                <w:rFonts w:ascii="Aptos" w:hAnsi="Aptos"/>
                <w:b w:val="0"/>
                <w:i w:val="0"/>
                <w:color w:val="10221C"/>
                <w:sz w:val="17"/>
              </w:rPr>
              <w:t>Partner channel, regional payments, multilingual support and resilience.</w:t>
            </w:r>
          </w:p>
        </w:tc>
        <w:tc>
          <w:tcPr>
            <w:tcW w:type="dxa" w:w="2736"/>
            <w:vAlign w:val="center"/>
            <w:tcW w:w="2736" w:type="dxa"/>
            <w:tcMar>
              <w:top w:w="80" w:type="dxa"/>
              <w:start w:w="120" w:type="dxa"/>
              <w:bottom w:w="80" w:type="dxa"/>
              <w:end w:w="120" w:type="dxa"/>
            </w:tcMar>
            <w:shd w:fill="F3F5F1"/>
          </w:tcPr>
          <w:p>
            <w:pPr>
              <w:spacing w:after="0" w:line="252" w:lineRule="auto"/>
            </w:pPr>
            <w:r>
              <w:rPr>
                <w:rFonts w:ascii="Aptos" w:hAnsi="Aptos"/>
                <w:b w:val="0"/>
                <w:i w:val="0"/>
                <w:color w:val="10221C"/>
                <w:sz w:val="17"/>
              </w:rPr>
              <w:t>Repeatable acquisition and operational capacity.</w:t>
            </w:r>
          </w:p>
        </w:tc>
      </w:tr>
    </w:tbl>
    <w:p>
      <w:pPr>
        <w:spacing w:after="40"/>
      </w:pPr>
    </w:p>
    <w:p>
      <w:pPr>
        <w:pStyle w:val="Heading2"/>
      </w:pPr>
      <w:r>
        <w:t>10.1 Phase 0 — discovery deliverables</w:t>
      </w:r>
    </w:p>
    <w:p>
      <w:pPr>
        <w:pStyle w:val="ListBullet"/>
      </w:pPr>
      <w:r>
        <w:rPr>
          <w:rFonts w:ascii="Aptos" w:hAnsi="Aptos"/>
          <w:b w:val="0"/>
          <w:i w:val="0"/>
          <w:color w:val="10221C"/>
          <w:sz w:val="22"/>
        </w:rPr>
        <w:t>Interview script and consent statement; at least five businesses, five agencies and three developers/IT leads.</w:t>
      </w:r>
    </w:p>
    <w:p>
      <w:pPr>
        <w:pStyle w:val="ListBullet"/>
      </w:pPr>
      <w:r>
        <w:rPr>
          <w:rFonts w:ascii="Aptos" w:hAnsi="Aptos"/>
          <w:b w:val="0"/>
          <w:i w:val="0"/>
          <w:color w:val="10221C"/>
          <w:sz w:val="22"/>
        </w:rPr>
        <w:t>Competitor matrix based on verified capabilities, pricing, audience and workflow—not marketing claims.</w:t>
      </w:r>
    </w:p>
    <w:p>
      <w:pPr>
        <w:pStyle w:val="ListBullet"/>
      </w:pPr>
      <w:r>
        <w:rPr>
          <w:rFonts w:ascii="Aptos" w:hAnsi="Aptos"/>
          <w:b w:val="0"/>
          <w:i w:val="0"/>
          <w:color w:val="10221C"/>
          <w:sz w:val="22"/>
        </w:rPr>
        <w:t>Clickable mobile prototype tested with at least five target users.</w:t>
      </w:r>
    </w:p>
    <w:p>
      <w:pPr>
        <w:pStyle w:val="ListBullet"/>
      </w:pPr>
      <w:r>
        <w:rPr>
          <w:rFonts w:ascii="Aptos" w:hAnsi="Aptos"/>
          <w:b w:val="0"/>
          <w:i w:val="0"/>
          <w:color w:val="10221C"/>
          <w:sz w:val="22"/>
        </w:rPr>
        <w:t>One design partner agreeing to verify assets and review findings regularly.</w:t>
      </w:r>
    </w:p>
    <w:p>
      <w:pPr>
        <w:pStyle w:val="ListBullet"/>
      </w:pPr>
      <w:r>
        <w:rPr>
          <w:rFonts w:ascii="Aptos" w:hAnsi="Aptos"/>
          <w:b w:val="0"/>
          <w:i w:val="0"/>
          <w:color w:val="10221C"/>
          <w:sz w:val="22"/>
        </w:rPr>
        <w:t>Decision record: exact first segment, pricing hypothesis and Release-One boundary.</w:t>
      </w:r>
    </w:p>
    <w:p>
      <w:pPr>
        <w:pStyle w:val="Heading2"/>
      </w:pPr>
      <w:r>
        <w:t>10.2 Foundation epics</w:t>
      </w:r>
    </w:p>
    <w:p>
      <w:pPr>
        <w:pStyle w:val="ListBullet"/>
      </w:pPr>
      <w:r>
        <w:rPr>
          <w:rFonts w:ascii="Aptos" w:hAnsi="Aptos"/>
          <w:b w:val="0"/>
          <w:i w:val="0"/>
          <w:color w:val="10221C"/>
          <w:sz w:val="22"/>
        </w:rPr>
        <w:t>Monorepo and development environments</w:t>
      </w:r>
    </w:p>
    <w:p>
      <w:pPr>
        <w:pStyle w:val="ListBullet"/>
      </w:pPr>
      <w:r>
        <w:rPr>
          <w:rFonts w:ascii="Aptos" w:hAnsi="Aptos"/>
          <w:b w:val="0"/>
          <w:i w:val="0"/>
          <w:color w:val="10221C"/>
          <w:sz w:val="22"/>
        </w:rPr>
        <w:t>Identity and tenant model</w:t>
      </w:r>
    </w:p>
    <w:p>
      <w:pPr>
        <w:pStyle w:val="ListBullet"/>
      </w:pPr>
      <w:r>
        <w:rPr>
          <w:rFonts w:ascii="Aptos" w:hAnsi="Aptos"/>
          <w:b w:val="0"/>
          <w:i w:val="0"/>
          <w:color w:val="10221C"/>
          <w:sz w:val="22"/>
        </w:rPr>
        <w:t>Design tokens and component library</w:t>
      </w:r>
    </w:p>
    <w:p>
      <w:pPr>
        <w:pStyle w:val="ListBullet"/>
      </w:pPr>
      <w:r>
        <w:rPr>
          <w:rFonts w:ascii="Aptos" w:hAnsi="Aptos"/>
          <w:b w:val="0"/>
          <w:i w:val="0"/>
          <w:color w:val="10221C"/>
          <w:sz w:val="22"/>
        </w:rPr>
        <w:t>Queue and isolated worker proof</w:t>
      </w:r>
    </w:p>
    <w:p>
      <w:pPr>
        <w:pStyle w:val="ListBullet"/>
      </w:pPr>
      <w:r>
        <w:rPr>
          <w:rFonts w:ascii="Aptos" w:hAnsi="Aptos"/>
          <w:b w:val="0"/>
          <w:i w:val="0"/>
          <w:color w:val="10221C"/>
          <w:sz w:val="22"/>
        </w:rPr>
        <w:t>Rule SDK and fixtures</w:t>
      </w:r>
    </w:p>
    <w:p>
      <w:pPr>
        <w:pStyle w:val="ListBullet"/>
      </w:pPr>
      <w:r>
        <w:rPr>
          <w:rFonts w:ascii="Aptos" w:hAnsi="Aptos"/>
          <w:b w:val="0"/>
          <w:i w:val="0"/>
          <w:color w:val="10221C"/>
          <w:sz w:val="22"/>
        </w:rPr>
        <w:t>Observability baseline</w:t>
      </w:r>
    </w:p>
    <w:p>
      <w:pPr>
        <w:pStyle w:val="ListBullet"/>
      </w:pPr>
      <w:r>
        <w:rPr>
          <w:rFonts w:ascii="Aptos" w:hAnsi="Aptos"/>
          <w:b w:val="0"/>
          <w:i w:val="0"/>
          <w:color w:val="10221C"/>
          <w:sz w:val="22"/>
        </w:rPr>
        <w:t>Infrastructure as code</w:t>
      </w:r>
    </w:p>
    <w:p>
      <w:pPr>
        <w:pStyle w:val="ListBullet"/>
      </w:pPr>
      <w:r>
        <w:rPr>
          <w:rFonts w:ascii="Aptos" w:hAnsi="Aptos"/>
          <w:b w:val="0"/>
          <w:i w:val="0"/>
          <w:color w:val="10221C"/>
          <w:sz w:val="22"/>
        </w:rPr>
        <w:t>Threat model and abuse controls</w:t>
      </w:r>
    </w:p>
    <w:p>
      <w:pPr>
        <w:pStyle w:val="Heading2"/>
      </w:pPr>
      <w:r>
        <w:t>10.3 Release sequencing rule</w:t>
      </w:r>
    </w:p>
    <w:p>
      <w:r>
        <w:rPr>
          <w:rFonts w:ascii="Aptos" w:hAnsi="Aptos"/>
          <w:b w:val="0"/>
          <w:i w:val="0"/>
          <w:color w:val="10221C"/>
          <w:sz w:val="22"/>
        </w:rPr>
        <w:t>A feature moves through Discovery → Designed → Threat-modeled → Implemented → Tested → Documented → Observed in staging → Released behind a flag → Measured. Work is not complete at code merge.</w:t>
      </w:r>
    </w:p>
    <w:p>
      <w:pPr>
        <w:pStyle w:val="Heading1"/>
      </w:pPr>
      <w:r>
        <w:t>11. Engineering standards and testing</w:t>
      </w:r>
    </w:p>
    <w:p>
      <w:pPr>
        <w:pStyle w:val="Heading2"/>
      </w:pPr>
      <w:r>
        <w:t>11.1 Repository standards</w:t>
      </w:r>
    </w:p>
    <w:p>
      <w:pPr>
        <w:pStyle w:val="ListBullet"/>
      </w:pPr>
      <w:r>
        <w:rPr>
          <w:rFonts w:ascii="Aptos" w:hAnsi="Aptos"/>
          <w:b w:val="0"/>
          <w:i w:val="0"/>
          <w:color w:val="10221C"/>
          <w:sz w:val="22"/>
        </w:rPr>
        <w:t>Protected main branch, reviewed pull requests and conventional commit/release notes.</w:t>
      </w:r>
    </w:p>
    <w:p>
      <w:pPr>
        <w:pStyle w:val="ListBullet"/>
      </w:pPr>
      <w:r>
        <w:rPr>
          <w:rFonts w:ascii="Aptos" w:hAnsi="Aptos"/>
          <w:b w:val="0"/>
          <w:i w:val="0"/>
          <w:color w:val="10221C"/>
          <w:sz w:val="22"/>
        </w:rPr>
        <w:t>Format, lint, type-check, unit and security checks required in CI.</w:t>
      </w:r>
    </w:p>
    <w:p>
      <w:pPr>
        <w:pStyle w:val="ListBullet"/>
      </w:pPr>
      <w:r>
        <w:rPr>
          <w:rFonts w:ascii="Aptos" w:hAnsi="Aptos"/>
          <w:b w:val="0"/>
          <w:i w:val="0"/>
          <w:color w:val="10221C"/>
          <w:sz w:val="22"/>
        </w:rPr>
        <w:t>Architecture Decision Records for durable choices; RFCs for cross-cutting changes.</w:t>
      </w:r>
    </w:p>
    <w:p>
      <w:pPr>
        <w:pStyle w:val="ListBullet"/>
      </w:pPr>
      <w:r>
        <w:rPr>
          <w:rFonts w:ascii="Aptos" w:hAnsi="Aptos"/>
          <w:b w:val="0"/>
          <w:i w:val="0"/>
          <w:color w:val="10221C"/>
          <w:sz w:val="22"/>
        </w:rPr>
        <w:t>Feature flags for risky or incomplete behavior; no environment-specific code branches.</w:t>
      </w:r>
    </w:p>
    <w:p>
      <w:pPr>
        <w:pStyle w:val="ListBullet"/>
      </w:pPr>
      <w:r>
        <w:rPr>
          <w:rFonts w:ascii="Aptos" w:hAnsi="Aptos"/>
          <w:b w:val="0"/>
          <w:i w:val="0"/>
          <w:color w:val="10221C"/>
          <w:sz w:val="22"/>
        </w:rPr>
        <w:t>Generated database migrations reviewed and rehearsed with rollback/forward strategy.</w:t>
      </w:r>
    </w:p>
    <w:p>
      <w:pPr>
        <w:pStyle w:val="Heading2"/>
      </w:pPr>
      <w:r>
        <w:t>11.2 Test pyramid</w:t>
      </w:r>
    </w:p>
    <w:tbl>
      <w:tblPr>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vAlign w:val="center"/>
            <w:tcW w:w="1800" w:type="dxa"/>
            <w:tcMar>
              <w:top w:w="80" w:type="dxa"/>
              <w:start w:w="120" w:type="dxa"/>
              <w:bottom w:w="80" w:type="dxa"/>
              <w:end w:w="120" w:type="dxa"/>
            </w:tcMar>
            <w:shd w:fill="12392F"/>
          </w:tcPr>
          <w:p>
            <w:pPr>
              <w:spacing w:after="0" w:line="252" w:lineRule="auto"/>
            </w:pPr>
            <w:r>
              <w:rPr>
                <w:rFonts w:ascii="Aptos" w:hAnsi="Aptos"/>
                <w:b/>
                <w:i w:val="0"/>
                <w:color w:val="FFFFFF"/>
                <w:sz w:val="17"/>
              </w:rPr>
              <w:t>Level</w:t>
            </w:r>
          </w:p>
        </w:tc>
        <w:tc>
          <w:tcPr>
            <w:tcW w:type="dxa" w:w="7560"/>
            <w:vAlign w:val="center"/>
            <w:tcW w:w="7560" w:type="dxa"/>
            <w:tcMar>
              <w:top w:w="80" w:type="dxa"/>
              <w:start w:w="120" w:type="dxa"/>
              <w:bottom w:w="80" w:type="dxa"/>
              <w:end w:w="120" w:type="dxa"/>
            </w:tcMar>
            <w:shd w:fill="12392F"/>
          </w:tcPr>
          <w:p>
            <w:pPr>
              <w:spacing w:after="0" w:line="252" w:lineRule="auto"/>
            </w:pPr>
            <w:r>
              <w:rPr>
                <w:rFonts w:ascii="Aptos" w:hAnsi="Aptos"/>
                <w:b/>
                <w:i w:val="0"/>
                <w:color w:val="FFFFFF"/>
                <w:sz w:val="17"/>
              </w:rPr>
              <w:t>Coverage expectation</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Unit</w:t>
            </w:r>
          </w:p>
        </w:tc>
        <w:tc>
          <w:tcPr>
            <w:tcW w:type="dxa" w:w="7560"/>
            <w:vAlign w:val="center"/>
            <w:tcW w:w="7560" w:type="dxa"/>
            <w:tcMar>
              <w:top w:w="80" w:type="dxa"/>
              <w:start w:w="120" w:type="dxa"/>
              <w:bottom w:w="80" w:type="dxa"/>
              <w:end w:w="120" w:type="dxa"/>
            </w:tcMar>
            <w:shd w:fill="FFFFFF"/>
          </w:tcPr>
          <w:p>
            <w:pPr>
              <w:spacing w:after="0" w:line="252" w:lineRule="auto"/>
            </w:pPr>
            <w:r>
              <w:rPr>
                <w:rFonts w:ascii="Aptos" w:hAnsi="Aptos"/>
                <w:b w:val="0"/>
                <w:i w:val="0"/>
                <w:color w:val="10221C"/>
                <w:sz w:val="17"/>
              </w:rPr>
              <w:t>Rules, scoring, validation, permissions and state transitions.</w:t>
            </w:r>
          </w:p>
        </w:tc>
      </w:tr>
      <w:tr>
        <w:tc>
          <w:tcPr>
            <w:tcW w:type="dxa" w:w="1800"/>
            <w:vAlign w:val="center"/>
            <w:tcW w:w="1800" w:type="dxa"/>
            <w:tcMar>
              <w:top w:w="80" w:type="dxa"/>
              <w:start w:w="120" w:type="dxa"/>
              <w:bottom w:w="80" w:type="dxa"/>
              <w:end w:w="120" w:type="dxa"/>
            </w:tcMar>
            <w:shd w:fill="F3F5F1"/>
          </w:tcPr>
          <w:p>
            <w:pPr>
              <w:spacing w:after="0" w:line="252" w:lineRule="auto"/>
            </w:pPr>
            <w:r>
              <w:rPr>
                <w:rFonts w:ascii="Aptos" w:hAnsi="Aptos"/>
                <w:b w:val="0"/>
                <w:i w:val="0"/>
                <w:color w:val="10221C"/>
                <w:sz w:val="17"/>
              </w:rPr>
              <w:t>Component</w:t>
            </w:r>
          </w:p>
        </w:tc>
        <w:tc>
          <w:tcPr>
            <w:tcW w:type="dxa" w:w="7560"/>
            <w:vAlign w:val="center"/>
            <w:tcW w:w="7560" w:type="dxa"/>
            <w:tcMar>
              <w:top w:w="80" w:type="dxa"/>
              <w:start w:w="120" w:type="dxa"/>
              <w:bottom w:w="80" w:type="dxa"/>
              <w:end w:w="120" w:type="dxa"/>
            </w:tcMar>
            <w:shd w:fill="F3F5F1"/>
          </w:tcPr>
          <w:p>
            <w:pPr>
              <w:spacing w:after="0" w:line="252" w:lineRule="auto"/>
            </w:pPr>
            <w:r>
              <w:rPr>
                <w:rFonts w:ascii="Aptos" w:hAnsi="Aptos"/>
                <w:b w:val="0"/>
                <w:i w:val="0"/>
                <w:color w:val="10221C"/>
                <w:sz w:val="17"/>
              </w:rPr>
              <w:t>API modules, repositories, queue behavior and notification rendering.</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Integration</w:t>
            </w:r>
          </w:p>
        </w:tc>
        <w:tc>
          <w:tcPr>
            <w:tcW w:type="dxa" w:w="7560"/>
            <w:vAlign w:val="center"/>
            <w:tcW w:w="7560" w:type="dxa"/>
            <w:tcMar>
              <w:top w:w="80" w:type="dxa"/>
              <w:start w:w="120" w:type="dxa"/>
              <w:bottom w:w="80" w:type="dxa"/>
              <w:end w:w="120" w:type="dxa"/>
            </w:tcMar>
            <w:shd w:fill="FFFFFF"/>
          </w:tcPr>
          <w:p>
            <w:pPr>
              <w:spacing w:after="0" w:line="252" w:lineRule="auto"/>
            </w:pPr>
            <w:r>
              <w:rPr>
                <w:rFonts w:ascii="Aptos" w:hAnsi="Aptos"/>
                <w:b w:val="0"/>
                <w:i w:val="0"/>
                <w:color w:val="10221C"/>
                <w:sz w:val="17"/>
              </w:rPr>
              <w:t>Database isolation, object storage, DNS/TLS fixtures and worker sandbox.</w:t>
            </w:r>
          </w:p>
        </w:tc>
      </w:tr>
      <w:tr>
        <w:tc>
          <w:tcPr>
            <w:tcW w:type="dxa" w:w="1800"/>
            <w:vAlign w:val="center"/>
            <w:tcW w:w="1800" w:type="dxa"/>
            <w:tcMar>
              <w:top w:w="80" w:type="dxa"/>
              <w:start w:w="120" w:type="dxa"/>
              <w:bottom w:w="80" w:type="dxa"/>
              <w:end w:w="120" w:type="dxa"/>
            </w:tcMar>
            <w:shd w:fill="F3F5F1"/>
          </w:tcPr>
          <w:p>
            <w:pPr>
              <w:spacing w:after="0" w:line="252" w:lineRule="auto"/>
            </w:pPr>
            <w:r>
              <w:rPr>
                <w:rFonts w:ascii="Aptos" w:hAnsi="Aptos"/>
                <w:b w:val="0"/>
                <w:i w:val="0"/>
                <w:color w:val="10221C"/>
                <w:sz w:val="17"/>
              </w:rPr>
              <w:t>Contract</w:t>
            </w:r>
          </w:p>
        </w:tc>
        <w:tc>
          <w:tcPr>
            <w:tcW w:type="dxa" w:w="7560"/>
            <w:vAlign w:val="center"/>
            <w:tcW w:w="7560" w:type="dxa"/>
            <w:tcMar>
              <w:top w:w="80" w:type="dxa"/>
              <w:start w:w="120" w:type="dxa"/>
              <w:bottom w:w="80" w:type="dxa"/>
              <w:end w:w="120" w:type="dxa"/>
            </w:tcMar>
            <w:shd w:fill="F3F5F1"/>
          </w:tcPr>
          <w:p>
            <w:pPr>
              <w:spacing w:after="0" w:line="252" w:lineRule="auto"/>
            </w:pPr>
            <w:r>
              <w:rPr>
                <w:rFonts w:ascii="Aptos" w:hAnsi="Aptos"/>
                <w:b w:val="0"/>
                <w:i w:val="0"/>
                <w:color w:val="10221C"/>
                <w:sz w:val="17"/>
              </w:rPr>
              <w:t>OpenAPI compatibility, webhook signatures and event schemas.</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End-to-end</w:t>
            </w:r>
          </w:p>
        </w:tc>
        <w:tc>
          <w:tcPr>
            <w:tcW w:type="dxa" w:w="7560"/>
            <w:vAlign w:val="center"/>
            <w:tcW w:w="7560" w:type="dxa"/>
            <w:tcMar>
              <w:top w:w="80" w:type="dxa"/>
              <w:start w:w="120" w:type="dxa"/>
              <w:bottom w:w="80" w:type="dxa"/>
              <w:end w:w="120" w:type="dxa"/>
            </w:tcMar>
            <w:shd w:fill="FFFFFF"/>
          </w:tcPr>
          <w:p>
            <w:pPr>
              <w:spacing w:after="0" w:line="252" w:lineRule="auto"/>
            </w:pPr>
            <w:r>
              <w:rPr>
                <w:rFonts w:ascii="Aptos" w:hAnsi="Aptos"/>
                <w:b w:val="0"/>
                <w:i w:val="0"/>
                <w:color w:val="10221C"/>
                <w:sz w:val="17"/>
              </w:rPr>
              <w:t>Critical onboarding, verification, scan, remediation, billing and deletion journeys.</w:t>
            </w:r>
          </w:p>
        </w:tc>
      </w:tr>
      <w:tr>
        <w:tc>
          <w:tcPr>
            <w:tcW w:type="dxa" w:w="1800"/>
            <w:vAlign w:val="center"/>
            <w:tcW w:w="1800" w:type="dxa"/>
            <w:tcMar>
              <w:top w:w="80" w:type="dxa"/>
              <w:start w:w="120" w:type="dxa"/>
              <w:bottom w:w="80" w:type="dxa"/>
              <w:end w:w="120" w:type="dxa"/>
            </w:tcMar>
            <w:shd w:fill="F3F5F1"/>
          </w:tcPr>
          <w:p>
            <w:pPr>
              <w:spacing w:after="0" w:line="252" w:lineRule="auto"/>
            </w:pPr>
            <w:r>
              <w:rPr>
                <w:rFonts w:ascii="Aptos" w:hAnsi="Aptos"/>
                <w:b w:val="0"/>
                <w:i w:val="0"/>
                <w:color w:val="10221C"/>
                <w:sz w:val="17"/>
              </w:rPr>
              <w:t>Security</w:t>
            </w:r>
          </w:p>
        </w:tc>
        <w:tc>
          <w:tcPr>
            <w:tcW w:type="dxa" w:w="7560"/>
            <w:vAlign w:val="center"/>
            <w:tcW w:w="7560" w:type="dxa"/>
            <w:tcMar>
              <w:top w:w="80" w:type="dxa"/>
              <w:start w:w="120" w:type="dxa"/>
              <w:bottom w:w="80" w:type="dxa"/>
              <w:end w:w="120" w:type="dxa"/>
            </w:tcMar>
            <w:shd w:fill="F3F5F1"/>
          </w:tcPr>
          <w:p>
            <w:pPr>
              <w:spacing w:after="0" w:line="252" w:lineRule="auto"/>
            </w:pPr>
            <w:r>
              <w:rPr>
                <w:rFonts w:ascii="Aptos" w:hAnsi="Aptos"/>
                <w:b w:val="0"/>
                <w:i w:val="0"/>
                <w:color w:val="10221C"/>
                <w:sz w:val="17"/>
              </w:rPr>
              <w:t>SAST, dependency/secret/container scanning, authorization tests and targeted DAST.</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Resilience</w:t>
            </w:r>
          </w:p>
        </w:tc>
        <w:tc>
          <w:tcPr>
            <w:tcW w:type="dxa" w:w="7560"/>
            <w:vAlign w:val="center"/>
            <w:tcW w:w="7560" w:type="dxa"/>
            <w:tcMar>
              <w:top w:w="80" w:type="dxa"/>
              <w:start w:w="120" w:type="dxa"/>
              <w:bottom w:w="80" w:type="dxa"/>
              <w:end w:w="120" w:type="dxa"/>
            </w:tcMar>
            <w:shd w:fill="FFFFFF"/>
          </w:tcPr>
          <w:p>
            <w:pPr>
              <w:spacing w:after="0" w:line="252" w:lineRule="auto"/>
            </w:pPr>
            <w:r>
              <w:rPr>
                <w:rFonts w:ascii="Aptos" w:hAnsi="Aptos"/>
                <w:b w:val="0"/>
                <w:i w:val="0"/>
                <w:color w:val="10221C"/>
                <w:sz w:val="17"/>
              </w:rPr>
              <w:t>Timeouts, retry storms, worker crashes, queue backlog and provider outages.</w:t>
            </w:r>
          </w:p>
        </w:tc>
      </w:tr>
      <w:tr>
        <w:tc>
          <w:tcPr>
            <w:tcW w:type="dxa" w:w="1800"/>
            <w:vAlign w:val="center"/>
            <w:tcW w:w="1800" w:type="dxa"/>
            <w:tcMar>
              <w:top w:w="80" w:type="dxa"/>
              <w:start w:w="120" w:type="dxa"/>
              <w:bottom w:w="80" w:type="dxa"/>
              <w:end w:w="120" w:type="dxa"/>
            </w:tcMar>
            <w:shd w:fill="F3F5F1"/>
          </w:tcPr>
          <w:p>
            <w:pPr>
              <w:spacing w:after="0" w:line="252" w:lineRule="auto"/>
            </w:pPr>
            <w:r>
              <w:rPr>
                <w:rFonts w:ascii="Aptos" w:hAnsi="Aptos"/>
                <w:b w:val="0"/>
                <w:i w:val="0"/>
                <w:color w:val="10221C"/>
                <w:sz w:val="17"/>
              </w:rPr>
              <w:t>Accessibility</w:t>
            </w:r>
          </w:p>
        </w:tc>
        <w:tc>
          <w:tcPr>
            <w:tcW w:type="dxa" w:w="7560"/>
            <w:vAlign w:val="center"/>
            <w:tcW w:w="7560" w:type="dxa"/>
            <w:tcMar>
              <w:top w:w="80" w:type="dxa"/>
              <w:start w:w="120" w:type="dxa"/>
              <w:bottom w:w="80" w:type="dxa"/>
              <w:end w:w="120" w:type="dxa"/>
            </w:tcMar>
            <w:shd w:fill="F3F5F1"/>
          </w:tcPr>
          <w:p>
            <w:pPr>
              <w:spacing w:after="0" w:line="252" w:lineRule="auto"/>
            </w:pPr>
            <w:r>
              <w:rPr>
                <w:rFonts w:ascii="Aptos" w:hAnsi="Aptos"/>
                <w:b w:val="0"/>
                <w:i w:val="0"/>
                <w:color w:val="10221C"/>
                <w:sz w:val="17"/>
              </w:rPr>
              <w:t>Automated checks plus keyboard, screen-reader and contrast review.</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Performance</w:t>
            </w:r>
          </w:p>
        </w:tc>
        <w:tc>
          <w:tcPr>
            <w:tcW w:type="dxa" w:w="7560"/>
            <w:vAlign w:val="center"/>
            <w:tcW w:w="7560" w:type="dxa"/>
            <w:tcMar>
              <w:top w:w="80" w:type="dxa"/>
              <w:start w:w="120" w:type="dxa"/>
              <w:bottom w:w="80" w:type="dxa"/>
              <w:end w:w="120" w:type="dxa"/>
            </w:tcMar>
            <w:shd w:fill="FFFFFF"/>
          </w:tcPr>
          <w:p>
            <w:pPr>
              <w:spacing w:after="0" w:line="252" w:lineRule="auto"/>
            </w:pPr>
            <w:r>
              <w:rPr>
                <w:rFonts w:ascii="Aptos" w:hAnsi="Aptos"/>
                <w:b w:val="0"/>
                <w:i w:val="0"/>
                <w:color w:val="10221C"/>
                <w:sz w:val="17"/>
              </w:rPr>
              <w:t>Mobile page budgets, API latency and controlled scan throughput.</w:t>
            </w:r>
          </w:p>
        </w:tc>
      </w:tr>
    </w:tbl>
    <w:p>
      <w:pPr>
        <w:spacing w:after="40"/>
      </w:pPr>
    </w:p>
    <w:p>
      <w:pPr>
        <w:pStyle w:val="Heading2"/>
      </w:pPr>
      <w:r>
        <w:t>11.3 Quality targets for public V1</w:t>
      </w:r>
    </w:p>
    <w:p>
      <w:pPr>
        <w:pStyle w:val="ListBullet"/>
      </w:pPr>
      <w:r>
        <w:rPr>
          <w:rFonts w:ascii="Aptos" w:hAnsi="Aptos"/>
          <w:b w:val="0"/>
          <w:i w:val="0"/>
          <w:color w:val="10221C"/>
          <w:sz w:val="22"/>
        </w:rPr>
        <w:t>No open Critical or High product-security vulnerabilities; Medium issues have owners and deadlines.</w:t>
      </w:r>
    </w:p>
    <w:p>
      <w:pPr>
        <w:pStyle w:val="ListBullet"/>
      </w:pPr>
      <w:r>
        <w:rPr>
          <w:rFonts w:ascii="Aptos" w:hAnsi="Aptos"/>
          <w:b w:val="0"/>
          <w:i w:val="0"/>
          <w:color w:val="10221C"/>
          <w:sz w:val="22"/>
        </w:rPr>
        <w:t>99.9% monthly control-plane availability target after stabilization; status page reports incidents.</w:t>
      </w:r>
    </w:p>
    <w:p>
      <w:pPr>
        <w:pStyle w:val="ListBullet"/>
      </w:pPr>
      <w:r>
        <w:rPr>
          <w:rFonts w:ascii="Aptos" w:hAnsi="Aptos"/>
          <w:b w:val="0"/>
          <w:i w:val="0"/>
          <w:color w:val="10221C"/>
          <w:sz w:val="22"/>
        </w:rPr>
        <w:t>P95 standard API latency under 500 ms excluding scan execution and third-party delays.</w:t>
      </w:r>
    </w:p>
    <w:p>
      <w:pPr>
        <w:pStyle w:val="ListBullet"/>
      </w:pPr>
      <w:r>
        <w:rPr>
          <w:rFonts w:ascii="Aptos" w:hAnsi="Aptos"/>
          <w:b w:val="0"/>
          <w:i w:val="0"/>
          <w:color w:val="10221C"/>
          <w:sz w:val="22"/>
        </w:rPr>
        <w:t>Core web experience meets agreed mobile performance budget on representative constrained connection.</w:t>
      </w:r>
    </w:p>
    <w:p>
      <w:pPr>
        <w:pStyle w:val="ListBullet"/>
      </w:pPr>
      <w:r>
        <w:rPr>
          <w:rFonts w:ascii="Aptos" w:hAnsi="Aptos"/>
          <w:b w:val="0"/>
          <w:i w:val="0"/>
          <w:color w:val="10221C"/>
          <w:sz w:val="22"/>
        </w:rPr>
        <w:t>All critical journeys pass keyboard and accessibility review.</w:t>
      </w:r>
    </w:p>
    <w:p>
      <w:pPr>
        <w:pStyle w:val="ListBullet"/>
      </w:pPr>
      <w:r>
        <w:rPr>
          <w:rFonts w:ascii="Aptos" w:hAnsi="Aptos"/>
          <w:b w:val="0"/>
          <w:i w:val="0"/>
          <w:color w:val="10221C"/>
          <w:sz w:val="22"/>
        </w:rPr>
        <w:t>Backup restoration demonstrated, not merely configured.</w:t>
      </w:r>
    </w:p>
    <w:p>
      <w:pPr>
        <w:pStyle w:val="Heading1"/>
      </w:pPr>
      <w:r>
        <w:t>12. Infrastructure and operations</w:t>
      </w:r>
    </w:p>
    <w:p>
      <w:pPr>
        <w:pStyle w:val="Heading2"/>
      </w:pPr>
      <w:r>
        <w:t>12.1 Environments</w:t>
      </w:r>
    </w:p>
    <w:p>
      <w:r>
        <w:rPr>
          <w:rFonts w:ascii="Aptos" w:hAnsi="Aptos"/>
          <w:b w:val="0"/>
          <w:i w:val="0"/>
          <w:color w:val="10221C"/>
          <w:sz w:val="22"/>
        </w:rPr>
        <w:t>Local development uses safe fixtures and a local mock target. Preview environments run per pull request with no production secrets. Staging mirrors production topology with synthetic data. Production access is least privilege, MFA protected, time bounded where possible and fully audited.</w:t>
      </w:r>
    </w:p>
    <w:p>
      <w:pPr>
        <w:pStyle w:val="Heading2"/>
      </w:pPr>
      <w:r>
        <w:t>12.2 Deployment</w:t>
      </w:r>
    </w:p>
    <w:p>
      <w:pPr>
        <w:pStyle w:val="ListBullet"/>
      </w:pPr>
      <w:r>
        <w:rPr>
          <w:rFonts w:ascii="Aptos" w:hAnsi="Aptos"/>
          <w:b w:val="0"/>
          <w:i w:val="0"/>
          <w:color w:val="10221C"/>
          <w:sz w:val="22"/>
        </w:rPr>
        <w:t>Build immutable images; generate SBOM; scan and sign release artifacts.</w:t>
      </w:r>
    </w:p>
    <w:p>
      <w:pPr>
        <w:pStyle w:val="ListBullet"/>
      </w:pPr>
      <w:r>
        <w:rPr>
          <w:rFonts w:ascii="Aptos" w:hAnsi="Aptos"/>
          <w:b w:val="0"/>
          <w:i w:val="0"/>
          <w:color w:val="10221C"/>
          <w:sz w:val="22"/>
        </w:rPr>
        <w:t>Deploy database-compatible changes before application changes; use expand/contract migrations.</w:t>
      </w:r>
    </w:p>
    <w:p>
      <w:pPr>
        <w:pStyle w:val="ListBullet"/>
      </w:pPr>
      <w:r>
        <w:rPr>
          <w:rFonts w:ascii="Aptos" w:hAnsi="Aptos"/>
          <w:b w:val="0"/>
          <w:i w:val="0"/>
          <w:color w:val="10221C"/>
          <w:sz w:val="22"/>
        </w:rPr>
        <w:t>Canary or gradual rollout for scanner rules and high-impact services.</w:t>
      </w:r>
    </w:p>
    <w:p>
      <w:pPr>
        <w:pStyle w:val="ListBullet"/>
      </w:pPr>
      <w:r>
        <w:rPr>
          <w:rFonts w:ascii="Aptos" w:hAnsi="Aptos"/>
          <w:b w:val="0"/>
          <w:i w:val="0"/>
          <w:color w:val="10221C"/>
          <w:sz w:val="22"/>
        </w:rPr>
        <w:t>Automatic rollback only for well-understood health signals; otherwise operator-controlled rollback.</w:t>
      </w:r>
    </w:p>
    <w:p>
      <w:pPr>
        <w:pStyle w:val="ListBullet"/>
      </w:pPr>
      <w:r>
        <w:rPr>
          <w:rFonts w:ascii="Aptos" w:hAnsi="Aptos"/>
          <w:b w:val="0"/>
          <w:i w:val="0"/>
          <w:color w:val="10221C"/>
          <w:sz w:val="22"/>
        </w:rPr>
        <w:t>Publish customer-visible incidents and material rule/scoring changes.</w:t>
      </w:r>
    </w:p>
    <w:p>
      <w:pPr>
        <w:pStyle w:val="Heading2"/>
      </w:pPr>
      <w:r>
        <w:t>12.3 Observability and SLOs</w:t>
      </w:r>
    </w:p>
    <w:tbl>
      <w:tblPr>
        <w:tblW w:type="auto" w:w="0"/>
        <w:jc w:val="left"/>
        <w:tblLayout w:type="fixed"/>
        <w:tblLook w:firstColumn="1" w:firstRow="1" w:lastColumn="0" w:lastRow="0" w:noHBand="0" w:noVBand="1" w:val="04A0"/>
        <w:tblW w:w="9360" w:type="dxa"/>
        <w:tblInd w:w="120" w:type="dxa"/>
      </w:tblPr>
      <w:tblGrid>
        <w:gridCol w:w="2232"/>
        <w:gridCol w:w="3312"/>
        <w:gridCol w:w="3816"/>
      </w:tblGrid>
      <w:tr>
        <w:trPr>
          <w:tblHeader w:val="true"/>
        </w:trPr>
        <w:tc>
          <w:tcPr>
            <w:tcW w:type="dxa" w:w="2232"/>
            <w:vAlign w:val="center"/>
            <w:tcW w:w="2232" w:type="dxa"/>
            <w:tcMar>
              <w:top w:w="80" w:type="dxa"/>
              <w:start w:w="120" w:type="dxa"/>
              <w:bottom w:w="80" w:type="dxa"/>
              <w:end w:w="120" w:type="dxa"/>
            </w:tcMar>
            <w:shd w:fill="12392F"/>
          </w:tcPr>
          <w:p>
            <w:pPr>
              <w:spacing w:after="0" w:line="252" w:lineRule="auto"/>
            </w:pPr>
            <w:r>
              <w:rPr>
                <w:rFonts w:ascii="Aptos" w:hAnsi="Aptos"/>
                <w:b/>
                <w:i w:val="0"/>
                <w:color w:val="FFFFFF"/>
                <w:sz w:val="17"/>
              </w:rPr>
              <w:t>Service indicator</w:t>
            </w:r>
          </w:p>
        </w:tc>
        <w:tc>
          <w:tcPr>
            <w:tcW w:type="dxa" w:w="3312"/>
            <w:vAlign w:val="center"/>
            <w:tcW w:w="3312" w:type="dxa"/>
            <w:tcMar>
              <w:top w:w="80" w:type="dxa"/>
              <w:start w:w="120" w:type="dxa"/>
              <w:bottom w:w="80" w:type="dxa"/>
              <w:end w:w="120" w:type="dxa"/>
            </w:tcMar>
            <w:shd w:fill="12392F"/>
          </w:tcPr>
          <w:p>
            <w:pPr>
              <w:spacing w:after="0" w:line="252" w:lineRule="auto"/>
            </w:pPr>
            <w:r>
              <w:rPr>
                <w:rFonts w:ascii="Aptos" w:hAnsi="Aptos"/>
                <w:b/>
                <w:i w:val="0"/>
                <w:color w:val="FFFFFF"/>
                <w:sz w:val="17"/>
              </w:rPr>
              <w:t>Initial objective</w:t>
            </w:r>
          </w:p>
        </w:tc>
        <w:tc>
          <w:tcPr>
            <w:tcW w:type="dxa" w:w="3816"/>
            <w:vAlign w:val="center"/>
            <w:tcW w:w="3816" w:type="dxa"/>
            <w:tcMar>
              <w:top w:w="80" w:type="dxa"/>
              <w:start w:w="120" w:type="dxa"/>
              <w:bottom w:w="80" w:type="dxa"/>
              <w:end w:w="120" w:type="dxa"/>
            </w:tcMar>
            <w:shd w:fill="12392F"/>
          </w:tcPr>
          <w:p>
            <w:pPr>
              <w:spacing w:after="0" w:line="252" w:lineRule="auto"/>
            </w:pPr>
            <w:r>
              <w:rPr>
                <w:rFonts w:ascii="Aptos" w:hAnsi="Aptos"/>
                <w:b/>
                <w:i w:val="0"/>
                <w:color w:val="FFFFFF"/>
                <w:sz w:val="17"/>
              </w:rPr>
              <w:t>Alerting principle</w:t>
            </w:r>
          </w:p>
        </w:tc>
      </w:tr>
      <w:tr>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API availability</w:t>
            </w:r>
          </w:p>
        </w:tc>
        <w:tc>
          <w:tcPr>
            <w:tcW w:type="dxa" w:w="3312"/>
            <w:vAlign w:val="center"/>
            <w:tcW w:w="3312" w:type="dxa"/>
            <w:tcMar>
              <w:top w:w="80" w:type="dxa"/>
              <w:start w:w="120" w:type="dxa"/>
              <w:bottom w:w="80" w:type="dxa"/>
              <w:end w:w="120" w:type="dxa"/>
            </w:tcMar>
            <w:shd w:fill="FFFFFF"/>
          </w:tcPr>
          <w:p>
            <w:pPr>
              <w:spacing w:after="0" w:line="252" w:lineRule="auto"/>
            </w:pPr>
            <w:r>
              <w:rPr>
                <w:rFonts w:ascii="Aptos" w:hAnsi="Aptos"/>
                <w:b w:val="0"/>
                <w:i w:val="0"/>
                <w:color w:val="10221C"/>
                <w:sz w:val="17"/>
              </w:rPr>
              <w:t>99.9% monthly after public launch</w:t>
            </w:r>
          </w:p>
        </w:tc>
        <w:tc>
          <w:tcPr>
            <w:tcW w:type="dxa" w:w="3816"/>
            <w:vAlign w:val="center"/>
            <w:tcW w:w="3816" w:type="dxa"/>
            <w:tcMar>
              <w:top w:w="80" w:type="dxa"/>
              <w:start w:w="120" w:type="dxa"/>
              <w:bottom w:w="80" w:type="dxa"/>
              <w:end w:w="120" w:type="dxa"/>
            </w:tcMar>
            <w:shd w:fill="FFFFFF"/>
          </w:tcPr>
          <w:p>
            <w:pPr>
              <w:spacing w:after="0" w:line="252" w:lineRule="auto"/>
            </w:pPr>
            <w:r>
              <w:rPr>
                <w:rFonts w:ascii="Aptos" w:hAnsi="Aptos"/>
                <w:b w:val="0"/>
                <w:i w:val="0"/>
                <w:color w:val="10221C"/>
                <w:sz w:val="17"/>
              </w:rPr>
              <w:t>Page on sustained error-budget burn.</w:t>
            </w:r>
          </w:p>
        </w:tc>
      </w:tr>
      <w:tr>
        <w:tc>
          <w:tcPr>
            <w:tcW w:type="dxa" w:w="2232"/>
            <w:vAlign w:val="center"/>
            <w:tcW w:w="2232" w:type="dxa"/>
            <w:tcMar>
              <w:top w:w="80" w:type="dxa"/>
              <w:start w:w="120" w:type="dxa"/>
              <w:bottom w:w="80" w:type="dxa"/>
              <w:end w:w="120" w:type="dxa"/>
            </w:tcMar>
            <w:shd w:fill="F3F5F1"/>
          </w:tcPr>
          <w:p>
            <w:pPr>
              <w:spacing w:after="0" w:line="252" w:lineRule="auto"/>
            </w:pPr>
            <w:r>
              <w:rPr>
                <w:rFonts w:ascii="Aptos" w:hAnsi="Aptos"/>
                <w:b w:val="0"/>
                <w:i w:val="0"/>
                <w:color w:val="10221C"/>
                <w:sz w:val="17"/>
              </w:rPr>
              <w:t>Scan completion</w:t>
            </w:r>
          </w:p>
        </w:tc>
        <w:tc>
          <w:tcPr>
            <w:tcW w:type="dxa" w:w="3312"/>
            <w:vAlign w:val="center"/>
            <w:tcW w:w="3312" w:type="dxa"/>
            <w:tcMar>
              <w:top w:w="80" w:type="dxa"/>
              <w:start w:w="120" w:type="dxa"/>
              <w:bottom w:w="80" w:type="dxa"/>
              <w:end w:w="120" w:type="dxa"/>
            </w:tcMar>
            <w:shd w:fill="F3F5F1"/>
          </w:tcPr>
          <w:p>
            <w:pPr>
              <w:spacing w:after="0" w:line="252" w:lineRule="auto"/>
            </w:pPr>
            <w:r>
              <w:rPr>
                <w:rFonts w:ascii="Aptos" w:hAnsi="Aptos"/>
                <w:b w:val="0"/>
                <w:i w:val="0"/>
                <w:color w:val="10221C"/>
                <w:sz w:val="17"/>
              </w:rPr>
              <w:t>95% of routine scans finish within 10 minutes</w:t>
            </w:r>
          </w:p>
        </w:tc>
        <w:tc>
          <w:tcPr>
            <w:tcW w:type="dxa" w:w="3816"/>
            <w:vAlign w:val="center"/>
            <w:tcW w:w="3816" w:type="dxa"/>
            <w:tcMar>
              <w:top w:w="80" w:type="dxa"/>
              <w:start w:w="120" w:type="dxa"/>
              <w:bottom w:w="80" w:type="dxa"/>
              <w:end w:w="120" w:type="dxa"/>
            </w:tcMar>
            <w:shd w:fill="F3F5F1"/>
          </w:tcPr>
          <w:p>
            <w:pPr>
              <w:spacing w:after="0" w:line="252" w:lineRule="auto"/>
            </w:pPr>
            <w:r>
              <w:rPr>
                <w:rFonts w:ascii="Aptos" w:hAnsi="Aptos"/>
                <w:b w:val="0"/>
                <w:i w:val="0"/>
                <w:color w:val="10221C"/>
                <w:sz w:val="17"/>
              </w:rPr>
              <w:t>Alert on backlog age and failure cluster.</w:t>
            </w:r>
          </w:p>
        </w:tc>
      </w:tr>
      <w:tr>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Notification delivery</w:t>
            </w:r>
          </w:p>
        </w:tc>
        <w:tc>
          <w:tcPr>
            <w:tcW w:type="dxa" w:w="3312"/>
            <w:vAlign w:val="center"/>
            <w:tcW w:w="3312" w:type="dxa"/>
            <w:tcMar>
              <w:top w:w="80" w:type="dxa"/>
              <w:start w:w="120" w:type="dxa"/>
              <w:bottom w:w="80" w:type="dxa"/>
              <w:end w:w="120" w:type="dxa"/>
            </w:tcMar>
            <w:shd w:fill="FFFFFF"/>
          </w:tcPr>
          <w:p>
            <w:pPr>
              <w:spacing w:after="0" w:line="252" w:lineRule="auto"/>
            </w:pPr>
            <w:r>
              <w:rPr>
                <w:rFonts w:ascii="Aptos" w:hAnsi="Aptos"/>
                <w:b w:val="0"/>
                <w:i w:val="0"/>
                <w:color w:val="10221C"/>
                <w:sz w:val="17"/>
              </w:rPr>
              <w:t>99% accepted by provider within 5 minutes</w:t>
            </w:r>
          </w:p>
        </w:tc>
        <w:tc>
          <w:tcPr>
            <w:tcW w:type="dxa" w:w="3816"/>
            <w:vAlign w:val="center"/>
            <w:tcW w:w="3816" w:type="dxa"/>
            <w:tcMar>
              <w:top w:w="80" w:type="dxa"/>
              <w:start w:w="120" w:type="dxa"/>
              <w:bottom w:w="80" w:type="dxa"/>
              <w:end w:w="120" w:type="dxa"/>
            </w:tcMar>
            <w:shd w:fill="FFFFFF"/>
          </w:tcPr>
          <w:p>
            <w:pPr>
              <w:spacing w:after="0" w:line="252" w:lineRule="auto"/>
            </w:pPr>
            <w:r>
              <w:rPr>
                <w:rFonts w:ascii="Aptos" w:hAnsi="Aptos"/>
                <w:b w:val="0"/>
                <w:i w:val="0"/>
                <w:color w:val="10221C"/>
                <w:sz w:val="17"/>
              </w:rPr>
              <w:t>Alert on provider or template failures.</w:t>
            </w:r>
          </w:p>
        </w:tc>
      </w:tr>
      <w:tr>
        <w:tc>
          <w:tcPr>
            <w:tcW w:type="dxa" w:w="2232"/>
            <w:vAlign w:val="center"/>
            <w:tcW w:w="2232" w:type="dxa"/>
            <w:tcMar>
              <w:top w:w="80" w:type="dxa"/>
              <w:start w:w="120" w:type="dxa"/>
              <w:bottom w:w="80" w:type="dxa"/>
              <w:end w:w="120" w:type="dxa"/>
            </w:tcMar>
            <w:shd w:fill="F3F5F1"/>
          </w:tcPr>
          <w:p>
            <w:pPr>
              <w:spacing w:after="0" w:line="252" w:lineRule="auto"/>
            </w:pPr>
            <w:r>
              <w:rPr>
                <w:rFonts w:ascii="Aptos" w:hAnsi="Aptos"/>
                <w:b w:val="0"/>
                <w:i w:val="0"/>
                <w:color w:val="10221C"/>
                <w:sz w:val="17"/>
              </w:rPr>
              <w:t>Evidence durability</w:t>
            </w:r>
          </w:p>
        </w:tc>
        <w:tc>
          <w:tcPr>
            <w:tcW w:type="dxa" w:w="3312"/>
            <w:vAlign w:val="center"/>
            <w:tcW w:w="3312" w:type="dxa"/>
            <w:tcMar>
              <w:top w:w="80" w:type="dxa"/>
              <w:start w:w="120" w:type="dxa"/>
              <w:bottom w:w="80" w:type="dxa"/>
              <w:end w:w="120" w:type="dxa"/>
            </w:tcMar>
            <w:shd w:fill="F3F5F1"/>
          </w:tcPr>
          <w:p>
            <w:pPr>
              <w:spacing w:after="0" w:line="252" w:lineRule="auto"/>
            </w:pPr>
            <w:r>
              <w:rPr>
                <w:rFonts w:ascii="Aptos" w:hAnsi="Aptos"/>
                <w:b w:val="0"/>
                <w:i w:val="0"/>
                <w:color w:val="10221C"/>
                <w:sz w:val="17"/>
              </w:rPr>
              <w:t>No acknowledged loss of committed scan evidence</w:t>
            </w:r>
          </w:p>
        </w:tc>
        <w:tc>
          <w:tcPr>
            <w:tcW w:type="dxa" w:w="3816"/>
            <w:vAlign w:val="center"/>
            <w:tcW w:w="3816" w:type="dxa"/>
            <w:tcMar>
              <w:top w:w="80" w:type="dxa"/>
              <w:start w:w="120" w:type="dxa"/>
              <w:bottom w:w="80" w:type="dxa"/>
              <w:end w:w="120" w:type="dxa"/>
            </w:tcMar>
            <w:shd w:fill="F3F5F1"/>
          </w:tcPr>
          <w:p>
            <w:pPr>
              <w:spacing w:after="0" w:line="252" w:lineRule="auto"/>
            </w:pPr>
            <w:r>
              <w:rPr>
                <w:rFonts w:ascii="Aptos" w:hAnsi="Aptos"/>
                <w:b w:val="0"/>
                <w:i w:val="0"/>
                <w:color w:val="10221C"/>
                <w:sz w:val="17"/>
              </w:rPr>
              <w:t>Alert on storage/write verification.</w:t>
            </w:r>
          </w:p>
        </w:tc>
      </w:tr>
      <w:tr>
        <w:tc>
          <w:tcPr>
            <w:tcW w:type="dxa" w:w="2232"/>
            <w:vAlign w:val="center"/>
            <w:tcW w:w="2232" w:type="dxa"/>
            <w:tcMar>
              <w:top w:w="80" w:type="dxa"/>
              <w:start w:w="120" w:type="dxa"/>
              <w:bottom w:w="80" w:type="dxa"/>
              <w:end w:w="120" w:type="dxa"/>
            </w:tcMar>
            <w:shd w:fill="FFFFFF"/>
          </w:tcPr>
          <w:p>
            <w:pPr>
              <w:spacing w:after="0" w:line="252" w:lineRule="auto"/>
            </w:pPr>
            <w:r>
              <w:rPr>
                <w:rFonts w:ascii="Aptos" w:hAnsi="Aptos"/>
                <w:b w:val="0"/>
                <w:i w:val="0"/>
                <w:color w:val="10221C"/>
                <w:sz w:val="17"/>
              </w:rPr>
              <w:t>Queue health</w:t>
            </w:r>
          </w:p>
        </w:tc>
        <w:tc>
          <w:tcPr>
            <w:tcW w:type="dxa" w:w="3312"/>
            <w:vAlign w:val="center"/>
            <w:tcW w:w="3312" w:type="dxa"/>
            <w:tcMar>
              <w:top w:w="80" w:type="dxa"/>
              <w:start w:w="120" w:type="dxa"/>
              <w:bottom w:w="80" w:type="dxa"/>
              <w:end w:w="120" w:type="dxa"/>
            </w:tcMar>
            <w:shd w:fill="FFFFFF"/>
          </w:tcPr>
          <w:p>
            <w:pPr>
              <w:spacing w:after="0" w:line="252" w:lineRule="auto"/>
            </w:pPr>
            <w:r>
              <w:rPr>
                <w:rFonts w:ascii="Aptos" w:hAnsi="Aptos"/>
                <w:b w:val="0"/>
                <w:i w:val="0"/>
                <w:color w:val="10221C"/>
                <w:sz w:val="17"/>
              </w:rPr>
              <w:t>Oldest routine job below agreed threshold</w:t>
            </w:r>
          </w:p>
        </w:tc>
        <w:tc>
          <w:tcPr>
            <w:tcW w:type="dxa" w:w="3816"/>
            <w:vAlign w:val="center"/>
            <w:tcW w:w="3816" w:type="dxa"/>
            <w:tcMar>
              <w:top w:w="80" w:type="dxa"/>
              <w:start w:w="120" w:type="dxa"/>
              <w:bottom w:w="80" w:type="dxa"/>
              <w:end w:w="120" w:type="dxa"/>
            </w:tcMar>
            <w:shd w:fill="FFFFFF"/>
          </w:tcPr>
          <w:p>
            <w:pPr>
              <w:spacing w:after="0" w:line="252" w:lineRule="auto"/>
            </w:pPr>
            <w:r>
              <w:rPr>
                <w:rFonts w:ascii="Aptos" w:hAnsi="Aptos"/>
                <w:b w:val="0"/>
                <w:i w:val="0"/>
                <w:color w:val="10221C"/>
                <w:sz w:val="17"/>
              </w:rPr>
              <w:t>Scale workers or pause intake safely.</w:t>
            </w:r>
          </w:p>
        </w:tc>
      </w:tr>
      <w:tr>
        <w:tc>
          <w:tcPr>
            <w:tcW w:type="dxa" w:w="2232"/>
            <w:vAlign w:val="center"/>
            <w:tcW w:w="2232" w:type="dxa"/>
            <w:tcMar>
              <w:top w:w="80" w:type="dxa"/>
              <w:start w:w="120" w:type="dxa"/>
              <w:bottom w:w="80" w:type="dxa"/>
              <w:end w:w="120" w:type="dxa"/>
            </w:tcMar>
            <w:shd w:fill="F3F5F1"/>
          </w:tcPr>
          <w:p>
            <w:pPr>
              <w:spacing w:after="0" w:line="252" w:lineRule="auto"/>
            </w:pPr>
            <w:r>
              <w:rPr>
                <w:rFonts w:ascii="Aptos" w:hAnsi="Aptos"/>
                <w:b w:val="0"/>
                <w:i w:val="0"/>
                <w:color w:val="10221C"/>
                <w:sz w:val="17"/>
              </w:rPr>
              <w:t>Rule quality</w:t>
            </w:r>
          </w:p>
        </w:tc>
        <w:tc>
          <w:tcPr>
            <w:tcW w:type="dxa" w:w="3312"/>
            <w:vAlign w:val="center"/>
            <w:tcW w:w="3312" w:type="dxa"/>
            <w:tcMar>
              <w:top w:w="80" w:type="dxa"/>
              <w:start w:w="120" w:type="dxa"/>
              <w:bottom w:w="80" w:type="dxa"/>
              <w:end w:w="120" w:type="dxa"/>
            </w:tcMar>
            <w:shd w:fill="F3F5F1"/>
          </w:tcPr>
          <w:p>
            <w:pPr>
              <w:spacing w:after="0" w:line="252" w:lineRule="auto"/>
            </w:pPr>
            <w:r>
              <w:rPr>
                <w:rFonts w:ascii="Aptos" w:hAnsi="Aptos"/>
                <w:b w:val="0"/>
                <w:i w:val="0"/>
                <w:color w:val="10221C"/>
                <w:sz w:val="17"/>
              </w:rPr>
              <w:t>Monitored dispute and confirmation rates</w:t>
            </w:r>
          </w:p>
        </w:tc>
        <w:tc>
          <w:tcPr>
            <w:tcW w:type="dxa" w:w="3816"/>
            <w:vAlign w:val="center"/>
            <w:tcW w:w="3816" w:type="dxa"/>
            <w:tcMar>
              <w:top w:w="80" w:type="dxa"/>
              <w:start w:w="120" w:type="dxa"/>
              <w:bottom w:w="80" w:type="dxa"/>
              <w:end w:w="120" w:type="dxa"/>
            </w:tcMar>
            <w:shd w:fill="F3F5F1"/>
          </w:tcPr>
          <w:p>
            <w:pPr>
              <w:spacing w:after="0" w:line="252" w:lineRule="auto"/>
            </w:pPr>
            <w:r>
              <w:rPr>
                <w:rFonts w:ascii="Aptos" w:hAnsi="Aptos"/>
                <w:b w:val="0"/>
                <w:i w:val="0"/>
                <w:color w:val="10221C"/>
                <w:sz w:val="17"/>
              </w:rPr>
              <w:t>Disable/regress noisy rule versions.</w:t>
            </w:r>
          </w:p>
        </w:tc>
      </w:tr>
    </w:tbl>
    <w:p>
      <w:pPr>
        <w:spacing w:after="40"/>
      </w:pPr>
    </w:p>
    <w:p>
      <w:pPr>
        <w:pStyle w:val="Heading2"/>
      </w:pPr>
      <w:r>
        <w:t>12.4 Incident response</w:t>
      </w:r>
    </w:p>
    <w:p>
      <w:r>
        <w:rPr>
          <w:rFonts w:ascii="Aptos" w:hAnsi="Aptos"/>
          <w:b w:val="0"/>
          <w:i w:val="0"/>
          <w:color w:val="10221C"/>
          <w:sz w:val="22"/>
        </w:rPr>
        <w:t>Maintain severity definitions, on-call ownership, containment playbooks, customer communication templates, forensic logging, legal escalation contacts and post-incident review. Conduct one tabletop exercise before public launch and at least twice yearly thereafter.</w:t>
      </w:r>
    </w:p>
    <w:p>
      <w:pPr>
        <w:pStyle w:val="Heading1"/>
      </w:pPr>
      <w:r>
        <w:t>13. Commercial model and go-to-market</w:t>
      </w:r>
    </w:p>
    <w:p>
      <w:pPr>
        <w:pStyle w:val="Heading2"/>
      </w:pPr>
      <w:r>
        <w:t>13.1 Plans hypothesis</w:t>
      </w:r>
    </w:p>
    <w:tbl>
      <w:tblPr>
        <w:tblW w:type="auto" w:w="0"/>
        <w:jc w:val="left"/>
        <w:tblLayout w:type="fixed"/>
        <w:tblLook w:firstColumn="1" w:firstRow="1" w:lastColumn="0" w:lastRow="0" w:noHBand="0" w:noVBand="1" w:val="04A0"/>
        <w:tblW w:w="9360" w:type="dxa"/>
        <w:tblInd w:w="120" w:type="dxa"/>
      </w:tblPr>
      <w:tblGrid>
        <w:gridCol w:w="1800"/>
        <w:gridCol w:w="2664"/>
        <w:gridCol w:w="4896"/>
      </w:tblGrid>
      <w:tr>
        <w:trPr>
          <w:tblHeader w:val="true"/>
        </w:trPr>
        <w:tc>
          <w:tcPr>
            <w:tcW w:type="dxa" w:w="1800"/>
            <w:vAlign w:val="center"/>
            <w:tcW w:w="1800" w:type="dxa"/>
            <w:tcMar>
              <w:top w:w="80" w:type="dxa"/>
              <w:start w:w="120" w:type="dxa"/>
              <w:bottom w:w="80" w:type="dxa"/>
              <w:end w:w="120" w:type="dxa"/>
            </w:tcMar>
            <w:shd w:fill="12392F"/>
          </w:tcPr>
          <w:p>
            <w:pPr>
              <w:spacing w:after="0" w:line="252" w:lineRule="auto"/>
            </w:pPr>
            <w:r>
              <w:rPr>
                <w:rFonts w:ascii="Aptos" w:hAnsi="Aptos"/>
                <w:b/>
                <w:i w:val="0"/>
                <w:color w:val="FFFFFF"/>
                <w:sz w:val="17"/>
              </w:rPr>
              <w:t>Plan</w:t>
            </w:r>
          </w:p>
        </w:tc>
        <w:tc>
          <w:tcPr>
            <w:tcW w:type="dxa" w:w="2664"/>
            <w:vAlign w:val="center"/>
            <w:tcW w:w="2664" w:type="dxa"/>
            <w:tcMar>
              <w:top w:w="80" w:type="dxa"/>
              <w:start w:w="120" w:type="dxa"/>
              <w:bottom w:w="80" w:type="dxa"/>
              <w:end w:w="120" w:type="dxa"/>
            </w:tcMar>
            <w:shd w:fill="12392F"/>
          </w:tcPr>
          <w:p>
            <w:pPr>
              <w:spacing w:after="0" w:line="252" w:lineRule="auto"/>
            </w:pPr>
            <w:r>
              <w:rPr>
                <w:rFonts w:ascii="Aptos" w:hAnsi="Aptos"/>
                <w:b/>
                <w:i w:val="0"/>
                <w:color w:val="FFFFFF"/>
                <w:sz w:val="17"/>
              </w:rPr>
              <w:t>Audience</w:t>
            </w:r>
          </w:p>
        </w:tc>
        <w:tc>
          <w:tcPr>
            <w:tcW w:type="dxa" w:w="4896"/>
            <w:vAlign w:val="center"/>
            <w:tcW w:w="4896" w:type="dxa"/>
            <w:tcMar>
              <w:top w:w="80" w:type="dxa"/>
              <w:start w:w="120" w:type="dxa"/>
              <w:bottom w:w="80" w:type="dxa"/>
              <w:end w:w="120" w:type="dxa"/>
            </w:tcMar>
            <w:shd w:fill="12392F"/>
          </w:tcPr>
          <w:p>
            <w:pPr>
              <w:spacing w:after="0" w:line="252" w:lineRule="auto"/>
            </w:pPr>
            <w:r>
              <w:rPr>
                <w:rFonts w:ascii="Aptos" w:hAnsi="Aptos"/>
                <w:b/>
                <w:i w:val="0"/>
                <w:color w:val="FFFFFF"/>
                <w:sz w:val="17"/>
              </w:rPr>
              <w:t>Initial shape</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Free</w:t>
            </w:r>
          </w:p>
        </w:tc>
        <w:tc>
          <w:tcPr>
            <w:tcW w:type="dxa" w:w="2664"/>
            <w:vAlign w:val="center"/>
            <w:tcW w:w="2664" w:type="dxa"/>
            <w:tcMar>
              <w:top w:w="80" w:type="dxa"/>
              <w:start w:w="120" w:type="dxa"/>
              <w:bottom w:w="80" w:type="dxa"/>
              <w:end w:w="120" w:type="dxa"/>
            </w:tcMar>
            <w:shd w:fill="FFFFFF"/>
          </w:tcPr>
          <w:p>
            <w:pPr>
              <w:spacing w:after="0" w:line="252" w:lineRule="auto"/>
            </w:pPr>
            <w:r>
              <w:rPr>
                <w:rFonts w:ascii="Aptos" w:hAnsi="Aptos"/>
                <w:b w:val="0"/>
                <w:i w:val="0"/>
                <w:color w:val="10221C"/>
                <w:sz w:val="17"/>
              </w:rPr>
              <w:t>Owner evaluating posture</w:t>
            </w:r>
          </w:p>
        </w:tc>
        <w:tc>
          <w:tcPr>
            <w:tcW w:type="dxa" w:w="4896"/>
            <w:vAlign w:val="center"/>
            <w:tcW w:w="4896" w:type="dxa"/>
            <w:tcMar>
              <w:top w:w="80" w:type="dxa"/>
              <w:start w:w="120" w:type="dxa"/>
              <w:bottom w:w="80" w:type="dxa"/>
              <w:end w:w="120" w:type="dxa"/>
            </w:tcMar>
            <w:shd w:fill="FFFFFF"/>
          </w:tcPr>
          <w:p>
            <w:pPr>
              <w:spacing w:after="0" w:line="252" w:lineRule="auto"/>
            </w:pPr>
            <w:r>
              <w:rPr>
                <w:rFonts w:ascii="Aptos" w:hAnsi="Aptos"/>
                <w:b w:val="0"/>
                <w:i w:val="0"/>
                <w:color w:val="10221C"/>
                <w:sz w:val="17"/>
              </w:rPr>
              <w:t>One verified domain, limited manual checks, current snapshot.</w:t>
            </w:r>
          </w:p>
        </w:tc>
      </w:tr>
      <w:tr>
        <w:tc>
          <w:tcPr>
            <w:tcW w:type="dxa" w:w="1800"/>
            <w:vAlign w:val="center"/>
            <w:tcW w:w="1800" w:type="dxa"/>
            <w:tcMar>
              <w:top w:w="80" w:type="dxa"/>
              <w:start w:w="120" w:type="dxa"/>
              <w:bottom w:w="80" w:type="dxa"/>
              <w:end w:w="120" w:type="dxa"/>
            </w:tcMar>
            <w:shd w:fill="F3F5F1"/>
          </w:tcPr>
          <w:p>
            <w:pPr>
              <w:spacing w:after="0" w:line="252" w:lineRule="auto"/>
            </w:pPr>
            <w:r>
              <w:rPr>
                <w:rFonts w:ascii="Aptos" w:hAnsi="Aptos"/>
                <w:b w:val="0"/>
                <w:i w:val="0"/>
                <w:color w:val="10221C"/>
                <w:sz w:val="17"/>
              </w:rPr>
              <w:t>Starter</w:t>
            </w:r>
          </w:p>
        </w:tc>
        <w:tc>
          <w:tcPr>
            <w:tcW w:type="dxa" w:w="2664"/>
            <w:vAlign w:val="center"/>
            <w:tcW w:w="2664" w:type="dxa"/>
            <w:tcMar>
              <w:top w:w="80" w:type="dxa"/>
              <w:start w:w="120" w:type="dxa"/>
              <w:bottom w:w="80" w:type="dxa"/>
              <w:end w:w="120" w:type="dxa"/>
            </w:tcMar>
            <w:shd w:fill="F3F5F1"/>
          </w:tcPr>
          <w:p>
            <w:pPr>
              <w:spacing w:after="0" w:line="252" w:lineRule="auto"/>
            </w:pPr>
            <w:r>
              <w:rPr>
                <w:rFonts w:ascii="Aptos" w:hAnsi="Aptos"/>
                <w:b w:val="0"/>
                <w:i w:val="0"/>
                <w:color w:val="10221C"/>
                <w:sz w:val="17"/>
              </w:rPr>
              <w:t>Small business</w:t>
            </w:r>
          </w:p>
        </w:tc>
        <w:tc>
          <w:tcPr>
            <w:tcW w:type="dxa" w:w="4896"/>
            <w:vAlign w:val="center"/>
            <w:tcW w:w="4896" w:type="dxa"/>
            <w:tcMar>
              <w:top w:w="80" w:type="dxa"/>
              <w:start w:w="120" w:type="dxa"/>
              <w:bottom w:w="80" w:type="dxa"/>
              <w:end w:w="120" w:type="dxa"/>
            </w:tcMar>
            <w:shd w:fill="F3F5F1"/>
          </w:tcPr>
          <w:p>
            <w:pPr>
              <w:spacing w:after="0" w:line="252" w:lineRule="auto"/>
            </w:pPr>
            <w:r>
              <w:rPr>
                <w:rFonts w:ascii="Aptos" w:hAnsi="Aptos"/>
                <w:b w:val="0"/>
                <w:i w:val="0"/>
                <w:color w:val="10221C"/>
                <w:sz w:val="17"/>
              </w:rPr>
              <w:t>Daily monitoring, history, alerts and remediation workflow.</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Business</w:t>
            </w:r>
          </w:p>
        </w:tc>
        <w:tc>
          <w:tcPr>
            <w:tcW w:type="dxa" w:w="2664"/>
            <w:vAlign w:val="center"/>
            <w:tcW w:w="2664" w:type="dxa"/>
            <w:tcMar>
              <w:top w:w="80" w:type="dxa"/>
              <w:start w:w="120" w:type="dxa"/>
              <w:bottom w:w="80" w:type="dxa"/>
              <w:end w:w="120" w:type="dxa"/>
            </w:tcMar>
            <w:shd w:fill="FFFFFF"/>
          </w:tcPr>
          <w:p>
            <w:pPr>
              <w:spacing w:after="0" w:line="252" w:lineRule="auto"/>
            </w:pPr>
            <w:r>
              <w:rPr>
                <w:rFonts w:ascii="Aptos" w:hAnsi="Aptos"/>
                <w:b w:val="0"/>
                <w:i w:val="0"/>
                <w:color w:val="10221C"/>
                <w:sz w:val="17"/>
              </w:rPr>
              <w:t>Growing organization</w:t>
            </w:r>
          </w:p>
        </w:tc>
        <w:tc>
          <w:tcPr>
            <w:tcW w:type="dxa" w:w="4896"/>
            <w:vAlign w:val="center"/>
            <w:tcW w:w="4896" w:type="dxa"/>
            <w:tcMar>
              <w:top w:w="80" w:type="dxa"/>
              <w:start w:w="120" w:type="dxa"/>
              <w:bottom w:w="80" w:type="dxa"/>
              <w:end w:w="120" w:type="dxa"/>
            </w:tcMar>
            <w:shd w:fill="FFFFFF"/>
          </w:tcPr>
          <w:p>
            <w:pPr>
              <w:spacing w:after="0" w:line="252" w:lineRule="auto"/>
            </w:pPr>
            <w:r>
              <w:rPr>
                <w:rFonts w:ascii="Aptos" w:hAnsi="Aptos"/>
                <w:b w:val="0"/>
                <w:i w:val="0"/>
                <w:color w:val="10221C"/>
                <w:sz w:val="17"/>
              </w:rPr>
              <w:t>More assets/users, reports, integrations and priority support.</w:t>
            </w:r>
          </w:p>
        </w:tc>
      </w:tr>
      <w:tr>
        <w:tc>
          <w:tcPr>
            <w:tcW w:type="dxa" w:w="1800"/>
            <w:vAlign w:val="center"/>
            <w:tcW w:w="1800" w:type="dxa"/>
            <w:tcMar>
              <w:top w:w="80" w:type="dxa"/>
              <w:start w:w="120" w:type="dxa"/>
              <w:bottom w:w="80" w:type="dxa"/>
              <w:end w:w="120" w:type="dxa"/>
            </w:tcMar>
            <w:shd w:fill="F3F5F1"/>
          </w:tcPr>
          <w:p>
            <w:pPr>
              <w:spacing w:after="0" w:line="252" w:lineRule="auto"/>
            </w:pPr>
            <w:r>
              <w:rPr>
                <w:rFonts w:ascii="Aptos" w:hAnsi="Aptos"/>
                <w:b w:val="0"/>
                <w:i w:val="0"/>
                <w:color w:val="10221C"/>
                <w:sz w:val="17"/>
              </w:rPr>
              <w:t>Agency</w:t>
            </w:r>
          </w:p>
        </w:tc>
        <w:tc>
          <w:tcPr>
            <w:tcW w:type="dxa" w:w="2664"/>
            <w:vAlign w:val="center"/>
            <w:tcW w:w="2664" w:type="dxa"/>
            <w:tcMar>
              <w:top w:w="80" w:type="dxa"/>
              <w:start w:w="120" w:type="dxa"/>
              <w:bottom w:w="80" w:type="dxa"/>
              <w:end w:w="120" w:type="dxa"/>
            </w:tcMar>
            <w:shd w:fill="F3F5F1"/>
          </w:tcPr>
          <w:p>
            <w:pPr>
              <w:spacing w:after="0" w:line="252" w:lineRule="auto"/>
            </w:pPr>
            <w:r>
              <w:rPr>
                <w:rFonts w:ascii="Aptos" w:hAnsi="Aptos"/>
                <w:b w:val="0"/>
                <w:i w:val="0"/>
                <w:color w:val="10221C"/>
                <w:sz w:val="17"/>
              </w:rPr>
              <w:t>Web/IT/security provider</w:t>
            </w:r>
          </w:p>
        </w:tc>
        <w:tc>
          <w:tcPr>
            <w:tcW w:type="dxa" w:w="4896"/>
            <w:vAlign w:val="center"/>
            <w:tcW w:w="4896" w:type="dxa"/>
            <w:tcMar>
              <w:top w:w="80" w:type="dxa"/>
              <w:start w:w="120" w:type="dxa"/>
              <w:bottom w:w="80" w:type="dxa"/>
              <w:end w:w="120" w:type="dxa"/>
            </w:tcMar>
            <w:shd w:fill="F3F5F1"/>
          </w:tcPr>
          <w:p>
            <w:pPr>
              <w:spacing w:after="0" w:line="252" w:lineRule="auto"/>
            </w:pPr>
            <w:r>
              <w:rPr>
                <w:rFonts w:ascii="Aptos" w:hAnsi="Aptos"/>
                <w:b w:val="0"/>
                <w:i w:val="0"/>
                <w:color w:val="10221C"/>
                <w:sz w:val="17"/>
              </w:rPr>
              <w:t>Client portfolio, delegated roles, branded reports and volume pricing.</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Enterprise/Institution</w:t>
            </w:r>
          </w:p>
        </w:tc>
        <w:tc>
          <w:tcPr>
            <w:tcW w:type="dxa" w:w="2664"/>
            <w:vAlign w:val="center"/>
            <w:tcW w:w="2664" w:type="dxa"/>
            <w:tcMar>
              <w:top w:w="80" w:type="dxa"/>
              <w:start w:w="120" w:type="dxa"/>
              <w:bottom w:w="80" w:type="dxa"/>
              <w:end w:w="120" w:type="dxa"/>
            </w:tcMar>
            <w:shd w:fill="FFFFFF"/>
          </w:tcPr>
          <w:p>
            <w:pPr>
              <w:spacing w:after="0" w:line="252" w:lineRule="auto"/>
            </w:pPr>
            <w:r>
              <w:rPr>
                <w:rFonts w:ascii="Aptos" w:hAnsi="Aptos"/>
                <w:b w:val="0"/>
                <w:i w:val="0"/>
                <w:color w:val="10221C"/>
                <w:sz w:val="17"/>
              </w:rPr>
              <w:t>Complex organization</w:t>
            </w:r>
          </w:p>
        </w:tc>
        <w:tc>
          <w:tcPr>
            <w:tcW w:type="dxa" w:w="4896"/>
            <w:vAlign w:val="center"/>
            <w:tcW w:w="4896" w:type="dxa"/>
            <w:tcMar>
              <w:top w:w="80" w:type="dxa"/>
              <w:start w:w="120" w:type="dxa"/>
              <w:bottom w:w="80" w:type="dxa"/>
              <w:end w:w="120" w:type="dxa"/>
            </w:tcMar>
            <w:shd w:fill="FFFFFF"/>
          </w:tcPr>
          <w:p>
            <w:pPr>
              <w:spacing w:after="0" w:line="252" w:lineRule="auto"/>
            </w:pPr>
            <w:r>
              <w:rPr>
                <w:rFonts w:ascii="Aptos" w:hAnsi="Aptos"/>
                <w:b w:val="0"/>
                <w:i w:val="0"/>
                <w:color w:val="10221C"/>
                <w:sz w:val="17"/>
              </w:rPr>
              <w:t>Custom scope, SSO, retention, assurance and support agreement.</w:t>
            </w:r>
          </w:p>
        </w:tc>
      </w:tr>
    </w:tbl>
    <w:p>
      <w:pPr>
        <w:spacing w:after="40"/>
      </w:pPr>
    </w:p>
    <w:p>
      <w:r>
        <w:rPr>
          <w:rFonts w:ascii="Aptos" w:hAnsi="Aptos"/>
          <w:b w:val="0"/>
          <w:i w:val="0"/>
          <w:color w:val="10221C"/>
          <w:sz w:val="22"/>
        </w:rPr>
        <w:t>Pricing remains a hypothesis until discovery measures willingness to pay and support cost. Security essentials such as MFA, encryption and safe defaults are not premium upsells.</w:t>
      </w:r>
    </w:p>
    <w:p>
      <w:pPr>
        <w:pStyle w:val="Heading2"/>
      </w:pPr>
      <w:r>
        <w:t>13.2 Launch motion</w:t>
      </w:r>
    </w:p>
    <w:p>
      <w:pPr>
        <w:pStyle w:val="ListBullet"/>
      </w:pPr>
      <w:r>
        <w:rPr>
          <w:rFonts w:ascii="Aptos" w:hAnsi="Aptos"/>
          <w:b w:val="0"/>
          <w:i w:val="0"/>
          <w:color w:val="10221C"/>
          <w:sz w:val="22"/>
        </w:rPr>
        <w:t>Recruit Tanzanian web agencies as design and distribution partners.</w:t>
      </w:r>
    </w:p>
    <w:p>
      <w:pPr>
        <w:pStyle w:val="ListBullet"/>
      </w:pPr>
      <w:r>
        <w:rPr>
          <w:rFonts w:ascii="Aptos" w:hAnsi="Aptos"/>
          <w:b w:val="0"/>
          <w:i w:val="0"/>
          <w:color w:val="10221C"/>
          <w:sz w:val="22"/>
        </w:rPr>
        <w:t>Offer a responsible free snapshot that requires verification for continuous monitoring.</w:t>
      </w:r>
    </w:p>
    <w:p>
      <w:pPr>
        <w:pStyle w:val="ListBullet"/>
      </w:pPr>
      <w:r>
        <w:rPr>
          <w:rFonts w:ascii="Aptos" w:hAnsi="Aptos"/>
          <w:b w:val="0"/>
          <w:i w:val="0"/>
          <w:color w:val="10221C"/>
          <w:sz w:val="22"/>
        </w:rPr>
        <w:t>Publish practical English/Kiswahili remediation guides and transparent methodology.</w:t>
      </w:r>
    </w:p>
    <w:p>
      <w:pPr>
        <w:pStyle w:val="ListBullet"/>
      </w:pPr>
      <w:r>
        <w:rPr>
          <w:rFonts w:ascii="Aptos" w:hAnsi="Aptos"/>
          <w:b w:val="0"/>
          <w:i w:val="0"/>
          <w:color w:val="10221C"/>
          <w:sz w:val="22"/>
        </w:rPr>
        <w:t>Turn verified improvements into anonymized case studies with customer consent.</w:t>
      </w:r>
    </w:p>
    <w:p>
      <w:pPr>
        <w:pStyle w:val="ListBullet"/>
      </w:pPr>
      <w:r>
        <w:rPr>
          <w:rFonts w:ascii="Aptos" w:hAnsi="Aptos"/>
          <w:b w:val="0"/>
          <w:i w:val="0"/>
          <w:color w:val="10221C"/>
          <w:sz w:val="22"/>
        </w:rPr>
        <w:t>Partner with hosting providers, developer communities and SME associations after product evidence exists.</w:t>
      </w:r>
    </w:p>
    <w:p>
      <w:pPr>
        <w:pStyle w:val="Heading2"/>
      </w:pPr>
      <w:r>
        <w:t>13.3 Trust centre before payment</w:t>
      </w:r>
    </w:p>
    <w:p>
      <w:r>
        <w:rPr>
          <w:rFonts w:ascii="Aptos" w:hAnsi="Aptos"/>
          <w:b w:val="0"/>
          <w:i w:val="0"/>
          <w:color w:val="10221C"/>
          <w:sz w:val="22"/>
        </w:rPr>
        <w:t>Publish security overview, data handling, subprocessors, service status, vulnerability disclosure, acceptable-use policy, scan methodology, scoring methodology, limitations, contact channels and incident notification commitment.</w:t>
      </w:r>
    </w:p>
    <w:p>
      <w:pPr>
        <w:pStyle w:val="Heading1"/>
      </w:pPr>
      <w:r>
        <w:t>14. Metrics, risks and governance</w:t>
      </w:r>
    </w:p>
    <w:p>
      <w:pPr>
        <w:pStyle w:val="Heading2"/>
      </w:pPr>
      <w:r>
        <w:t>14.1 Product scorecard</w:t>
      </w:r>
    </w:p>
    <w:tbl>
      <w:tblPr>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vAlign w:val="center"/>
            <w:tcW w:w="1800" w:type="dxa"/>
            <w:tcMar>
              <w:top w:w="80" w:type="dxa"/>
              <w:start w:w="120" w:type="dxa"/>
              <w:bottom w:w="80" w:type="dxa"/>
              <w:end w:w="120" w:type="dxa"/>
            </w:tcMar>
            <w:shd w:fill="12392F"/>
          </w:tcPr>
          <w:p>
            <w:pPr>
              <w:spacing w:after="0" w:line="252" w:lineRule="auto"/>
            </w:pPr>
            <w:r>
              <w:rPr>
                <w:rFonts w:ascii="Aptos" w:hAnsi="Aptos"/>
                <w:b/>
                <w:i w:val="0"/>
                <w:color w:val="FFFFFF"/>
                <w:sz w:val="17"/>
              </w:rPr>
              <w:t>Dimension</w:t>
            </w:r>
          </w:p>
        </w:tc>
        <w:tc>
          <w:tcPr>
            <w:tcW w:type="dxa" w:w="7560"/>
            <w:vAlign w:val="center"/>
            <w:tcW w:w="7560" w:type="dxa"/>
            <w:tcMar>
              <w:top w:w="80" w:type="dxa"/>
              <w:start w:w="120" w:type="dxa"/>
              <w:bottom w:w="80" w:type="dxa"/>
              <w:end w:w="120" w:type="dxa"/>
            </w:tcMar>
            <w:shd w:fill="12392F"/>
          </w:tcPr>
          <w:p>
            <w:pPr>
              <w:spacing w:after="0" w:line="252" w:lineRule="auto"/>
            </w:pPr>
            <w:r>
              <w:rPr>
                <w:rFonts w:ascii="Aptos" w:hAnsi="Aptos"/>
                <w:b/>
                <w:i w:val="0"/>
                <w:color w:val="FFFFFF"/>
                <w:sz w:val="17"/>
              </w:rPr>
              <w:t>Primary measures</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Activation</w:t>
            </w:r>
          </w:p>
        </w:tc>
        <w:tc>
          <w:tcPr>
            <w:tcW w:type="dxa" w:w="7560"/>
            <w:vAlign w:val="center"/>
            <w:tcW w:w="7560" w:type="dxa"/>
            <w:tcMar>
              <w:top w:w="80" w:type="dxa"/>
              <w:start w:w="120" w:type="dxa"/>
              <w:bottom w:w="80" w:type="dxa"/>
              <w:end w:w="120" w:type="dxa"/>
            </w:tcMar>
            <w:shd w:fill="FFFFFF"/>
          </w:tcPr>
          <w:p>
            <w:pPr>
              <w:spacing w:after="0" w:line="252" w:lineRule="auto"/>
            </w:pPr>
            <w:r>
              <w:rPr>
                <w:rFonts w:ascii="Aptos" w:hAnsi="Aptos"/>
                <w:b w:val="0"/>
                <w:i w:val="0"/>
                <w:color w:val="10221C"/>
                <w:sz w:val="17"/>
              </w:rPr>
              <w:t>Verified domain and completed first scan within one session/day.</w:t>
            </w:r>
          </w:p>
        </w:tc>
      </w:tr>
      <w:tr>
        <w:tc>
          <w:tcPr>
            <w:tcW w:type="dxa" w:w="1800"/>
            <w:vAlign w:val="center"/>
            <w:tcW w:w="1800" w:type="dxa"/>
            <w:tcMar>
              <w:top w:w="80" w:type="dxa"/>
              <w:start w:w="120" w:type="dxa"/>
              <w:bottom w:w="80" w:type="dxa"/>
              <w:end w:w="120" w:type="dxa"/>
            </w:tcMar>
            <w:shd w:fill="F3F5F1"/>
          </w:tcPr>
          <w:p>
            <w:pPr>
              <w:spacing w:after="0" w:line="252" w:lineRule="auto"/>
            </w:pPr>
            <w:r>
              <w:rPr>
                <w:rFonts w:ascii="Aptos" w:hAnsi="Aptos"/>
                <w:b w:val="0"/>
                <w:i w:val="0"/>
                <w:color w:val="10221C"/>
                <w:sz w:val="17"/>
              </w:rPr>
              <w:t>Value</w:t>
            </w:r>
          </w:p>
        </w:tc>
        <w:tc>
          <w:tcPr>
            <w:tcW w:type="dxa" w:w="7560"/>
            <w:vAlign w:val="center"/>
            <w:tcW w:w="7560" w:type="dxa"/>
            <w:tcMar>
              <w:top w:w="80" w:type="dxa"/>
              <w:start w:w="120" w:type="dxa"/>
              <w:bottom w:w="80" w:type="dxa"/>
              <w:end w:w="120" w:type="dxa"/>
            </w:tcMar>
            <w:shd w:fill="F3F5F1"/>
          </w:tcPr>
          <w:p>
            <w:pPr>
              <w:spacing w:after="0" w:line="252" w:lineRule="auto"/>
            </w:pPr>
            <w:r>
              <w:rPr>
                <w:rFonts w:ascii="Aptos" w:hAnsi="Aptos"/>
                <w:b w:val="0"/>
                <w:i w:val="0"/>
                <w:color w:val="10221C"/>
                <w:sz w:val="17"/>
              </w:rPr>
              <w:t>Findings understood, assigned and verified closed.</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Retention</w:t>
            </w:r>
          </w:p>
        </w:tc>
        <w:tc>
          <w:tcPr>
            <w:tcW w:type="dxa" w:w="7560"/>
            <w:vAlign w:val="center"/>
            <w:tcW w:w="7560" w:type="dxa"/>
            <w:tcMar>
              <w:top w:w="80" w:type="dxa"/>
              <w:start w:w="120" w:type="dxa"/>
              <w:bottom w:w="80" w:type="dxa"/>
              <w:end w:w="120" w:type="dxa"/>
            </w:tcMar>
            <w:shd w:fill="FFFFFF"/>
          </w:tcPr>
          <w:p>
            <w:pPr>
              <w:spacing w:after="0" w:line="252" w:lineRule="auto"/>
            </w:pPr>
            <w:r>
              <w:rPr>
                <w:rFonts w:ascii="Aptos" w:hAnsi="Aptos"/>
                <w:b w:val="0"/>
                <w:i w:val="0"/>
                <w:color w:val="10221C"/>
                <w:sz w:val="17"/>
              </w:rPr>
              <w:t>Organizations with active protected assets and recurring review.</w:t>
            </w:r>
          </w:p>
        </w:tc>
      </w:tr>
      <w:tr>
        <w:tc>
          <w:tcPr>
            <w:tcW w:type="dxa" w:w="1800"/>
            <w:vAlign w:val="center"/>
            <w:tcW w:w="1800" w:type="dxa"/>
            <w:tcMar>
              <w:top w:w="80" w:type="dxa"/>
              <w:start w:w="120" w:type="dxa"/>
              <w:bottom w:w="80" w:type="dxa"/>
              <w:end w:w="120" w:type="dxa"/>
            </w:tcMar>
            <w:shd w:fill="F3F5F1"/>
          </w:tcPr>
          <w:p>
            <w:pPr>
              <w:spacing w:after="0" w:line="252" w:lineRule="auto"/>
            </w:pPr>
            <w:r>
              <w:rPr>
                <w:rFonts w:ascii="Aptos" w:hAnsi="Aptos"/>
                <w:b w:val="0"/>
                <w:i w:val="0"/>
                <w:color w:val="10221C"/>
                <w:sz w:val="17"/>
              </w:rPr>
              <w:t>Quality</w:t>
            </w:r>
          </w:p>
        </w:tc>
        <w:tc>
          <w:tcPr>
            <w:tcW w:type="dxa" w:w="7560"/>
            <w:vAlign w:val="center"/>
            <w:tcW w:w="7560" w:type="dxa"/>
            <w:tcMar>
              <w:top w:w="80" w:type="dxa"/>
              <w:start w:w="120" w:type="dxa"/>
              <w:bottom w:w="80" w:type="dxa"/>
              <w:end w:w="120" w:type="dxa"/>
            </w:tcMar>
            <w:shd w:fill="F3F5F1"/>
          </w:tcPr>
          <w:p>
            <w:pPr>
              <w:spacing w:after="0" w:line="252" w:lineRule="auto"/>
            </w:pPr>
            <w:r>
              <w:rPr>
                <w:rFonts w:ascii="Aptos" w:hAnsi="Aptos"/>
                <w:b w:val="0"/>
                <w:i w:val="0"/>
                <w:color w:val="10221C"/>
                <w:sz w:val="17"/>
              </w:rPr>
              <w:t>Confirmed finding rate, disputes, failed scans and alert usefulness.</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Reliability</w:t>
            </w:r>
          </w:p>
        </w:tc>
        <w:tc>
          <w:tcPr>
            <w:tcW w:type="dxa" w:w="7560"/>
            <w:vAlign w:val="center"/>
            <w:tcW w:w="7560" w:type="dxa"/>
            <w:tcMar>
              <w:top w:w="80" w:type="dxa"/>
              <w:start w:w="120" w:type="dxa"/>
              <w:bottom w:w="80" w:type="dxa"/>
              <w:end w:w="120" w:type="dxa"/>
            </w:tcMar>
            <w:shd w:fill="FFFFFF"/>
          </w:tcPr>
          <w:p>
            <w:pPr>
              <w:spacing w:after="0" w:line="252" w:lineRule="auto"/>
            </w:pPr>
            <w:r>
              <w:rPr>
                <w:rFonts w:ascii="Aptos" w:hAnsi="Aptos"/>
                <w:b w:val="0"/>
                <w:i w:val="0"/>
                <w:color w:val="10221C"/>
                <w:sz w:val="17"/>
              </w:rPr>
              <w:t>SLO attainment, queue delay and incident recovery.</w:t>
            </w:r>
          </w:p>
        </w:tc>
      </w:tr>
      <w:tr>
        <w:tc>
          <w:tcPr>
            <w:tcW w:type="dxa" w:w="1800"/>
            <w:vAlign w:val="center"/>
            <w:tcW w:w="1800" w:type="dxa"/>
            <w:tcMar>
              <w:top w:w="80" w:type="dxa"/>
              <w:start w:w="120" w:type="dxa"/>
              <w:bottom w:w="80" w:type="dxa"/>
              <w:end w:w="120" w:type="dxa"/>
            </w:tcMar>
            <w:shd w:fill="F3F5F1"/>
          </w:tcPr>
          <w:p>
            <w:pPr>
              <w:spacing w:after="0" w:line="252" w:lineRule="auto"/>
            </w:pPr>
            <w:r>
              <w:rPr>
                <w:rFonts w:ascii="Aptos" w:hAnsi="Aptos"/>
                <w:b w:val="0"/>
                <w:i w:val="0"/>
                <w:color w:val="10221C"/>
                <w:sz w:val="17"/>
              </w:rPr>
              <w:t>Growth</w:t>
            </w:r>
          </w:p>
        </w:tc>
        <w:tc>
          <w:tcPr>
            <w:tcW w:type="dxa" w:w="7560"/>
            <w:vAlign w:val="center"/>
            <w:tcW w:w="7560" w:type="dxa"/>
            <w:tcMar>
              <w:top w:w="80" w:type="dxa"/>
              <w:start w:w="120" w:type="dxa"/>
              <w:bottom w:w="80" w:type="dxa"/>
              <w:end w:w="120" w:type="dxa"/>
            </w:tcMar>
            <w:shd w:fill="F3F5F1"/>
          </w:tcPr>
          <w:p>
            <w:pPr>
              <w:spacing w:after="0" w:line="252" w:lineRule="auto"/>
            </w:pPr>
            <w:r>
              <w:rPr>
                <w:rFonts w:ascii="Aptos" w:hAnsi="Aptos"/>
                <w:b w:val="0"/>
                <w:i w:val="0"/>
                <w:color w:val="10221C"/>
                <w:sz w:val="17"/>
              </w:rPr>
              <w:t>Design-partner conversion, agency portfolio expansion and paid retention.</w:t>
            </w:r>
          </w:p>
        </w:tc>
      </w:tr>
      <w:tr>
        <w:tc>
          <w:tcPr>
            <w:tcW w:type="dxa" w:w="1800"/>
            <w:vAlign w:val="center"/>
            <w:tcW w:w="1800" w:type="dxa"/>
            <w:tcMar>
              <w:top w:w="80" w:type="dxa"/>
              <w:start w:w="120" w:type="dxa"/>
              <w:bottom w:w="80" w:type="dxa"/>
              <w:end w:w="120" w:type="dxa"/>
            </w:tcMar>
            <w:shd w:fill="FFFFFF"/>
          </w:tcPr>
          <w:p>
            <w:pPr>
              <w:spacing w:after="0" w:line="252" w:lineRule="auto"/>
            </w:pPr>
            <w:r>
              <w:rPr>
                <w:rFonts w:ascii="Aptos" w:hAnsi="Aptos"/>
                <w:b w:val="0"/>
                <w:i w:val="0"/>
                <w:color w:val="10221C"/>
                <w:sz w:val="17"/>
              </w:rPr>
              <w:t>Safety</w:t>
            </w:r>
          </w:p>
        </w:tc>
        <w:tc>
          <w:tcPr>
            <w:tcW w:type="dxa" w:w="7560"/>
            <w:vAlign w:val="center"/>
            <w:tcW w:w="7560" w:type="dxa"/>
            <w:tcMar>
              <w:top w:w="80" w:type="dxa"/>
              <w:start w:w="120" w:type="dxa"/>
              <w:bottom w:w="80" w:type="dxa"/>
              <w:end w:w="120" w:type="dxa"/>
            </w:tcMar>
            <w:shd w:fill="FFFFFF"/>
          </w:tcPr>
          <w:p>
            <w:pPr>
              <w:spacing w:after="0" w:line="252" w:lineRule="auto"/>
            </w:pPr>
            <w:r>
              <w:rPr>
                <w:rFonts w:ascii="Aptos" w:hAnsi="Aptos"/>
                <w:b w:val="0"/>
                <w:i w:val="0"/>
                <w:color w:val="10221C"/>
                <w:sz w:val="17"/>
              </w:rPr>
              <w:t>Unauthorized-scan attempts blocked, abuse incidents and security defects.</w:t>
            </w:r>
          </w:p>
        </w:tc>
      </w:tr>
      <w:tr>
        <w:tc>
          <w:tcPr>
            <w:tcW w:type="dxa" w:w="1800"/>
            <w:vAlign w:val="center"/>
            <w:tcW w:w="1800" w:type="dxa"/>
            <w:tcMar>
              <w:top w:w="80" w:type="dxa"/>
              <w:start w:w="120" w:type="dxa"/>
              <w:bottom w:w="80" w:type="dxa"/>
              <w:end w:w="120" w:type="dxa"/>
            </w:tcMar>
            <w:shd w:fill="F3F5F1"/>
          </w:tcPr>
          <w:p>
            <w:pPr>
              <w:spacing w:after="0" w:line="252" w:lineRule="auto"/>
            </w:pPr>
            <w:r>
              <w:rPr>
                <w:rFonts w:ascii="Aptos" w:hAnsi="Aptos"/>
                <w:b w:val="0"/>
                <w:i w:val="0"/>
                <w:color w:val="10221C"/>
                <w:sz w:val="17"/>
              </w:rPr>
              <w:t>Support</w:t>
            </w:r>
          </w:p>
        </w:tc>
        <w:tc>
          <w:tcPr>
            <w:tcW w:type="dxa" w:w="7560"/>
            <w:vAlign w:val="center"/>
            <w:tcW w:w="7560" w:type="dxa"/>
            <w:tcMar>
              <w:top w:w="80" w:type="dxa"/>
              <w:start w:w="120" w:type="dxa"/>
              <w:bottom w:w="80" w:type="dxa"/>
              <w:end w:w="120" w:type="dxa"/>
            </w:tcMar>
            <w:shd w:fill="F3F5F1"/>
          </w:tcPr>
          <w:p>
            <w:pPr>
              <w:spacing w:after="0" w:line="252" w:lineRule="auto"/>
            </w:pPr>
            <w:r>
              <w:rPr>
                <w:rFonts w:ascii="Aptos" w:hAnsi="Aptos"/>
                <w:b w:val="0"/>
                <w:i w:val="0"/>
                <w:color w:val="10221C"/>
                <w:sz w:val="17"/>
              </w:rPr>
              <w:t>Time to first response, resolution and repeated confusion themes.</w:t>
            </w:r>
          </w:p>
        </w:tc>
      </w:tr>
    </w:tbl>
    <w:p>
      <w:pPr>
        <w:spacing w:after="40"/>
      </w:pPr>
    </w:p>
    <w:p>
      <w:pPr>
        <w:pStyle w:val="Heading2"/>
      </w:pPr>
      <w:r>
        <w:t>14.2 Principal risks</w:t>
      </w:r>
    </w:p>
    <w:tbl>
      <w:tblPr>
        <w:tblW w:type="auto" w:w="0"/>
        <w:jc w:val="left"/>
        <w:tblLayout w:type="fixed"/>
        <w:tblLook w:firstColumn="1" w:firstRow="1" w:lastColumn="0" w:lastRow="0" w:noHBand="0" w:noVBand="1" w:val="04A0"/>
        <w:tblW w:w="9360" w:type="dxa"/>
        <w:tblInd w:w="120" w:type="dxa"/>
      </w:tblPr>
      <w:tblGrid>
        <w:gridCol w:w="1944"/>
        <w:gridCol w:w="4680"/>
        <w:gridCol w:w="2736"/>
      </w:tblGrid>
      <w:tr>
        <w:trPr>
          <w:tblHeader w:val="true"/>
        </w:trPr>
        <w:tc>
          <w:tcPr>
            <w:tcW w:type="dxa" w:w="1944"/>
            <w:vAlign w:val="center"/>
            <w:tcW w:w="1944" w:type="dxa"/>
            <w:tcMar>
              <w:top w:w="80" w:type="dxa"/>
              <w:start w:w="120" w:type="dxa"/>
              <w:bottom w:w="80" w:type="dxa"/>
              <w:end w:w="120" w:type="dxa"/>
            </w:tcMar>
            <w:shd w:fill="12392F"/>
          </w:tcPr>
          <w:p>
            <w:pPr>
              <w:spacing w:after="0" w:line="252" w:lineRule="auto"/>
            </w:pPr>
            <w:r>
              <w:rPr>
                <w:rFonts w:ascii="Aptos" w:hAnsi="Aptos"/>
                <w:b/>
                <w:i w:val="0"/>
                <w:color w:val="FFFFFF"/>
                <w:sz w:val="17"/>
              </w:rPr>
              <w:t>Risk</w:t>
            </w:r>
          </w:p>
        </w:tc>
        <w:tc>
          <w:tcPr>
            <w:tcW w:type="dxa" w:w="4680"/>
            <w:vAlign w:val="center"/>
            <w:tcW w:w="4680" w:type="dxa"/>
            <w:tcMar>
              <w:top w:w="80" w:type="dxa"/>
              <w:start w:w="120" w:type="dxa"/>
              <w:bottom w:w="80" w:type="dxa"/>
              <w:end w:w="120" w:type="dxa"/>
            </w:tcMar>
            <w:shd w:fill="12392F"/>
          </w:tcPr>
          <w:p>
            <w:pPr>
              <w:spacing w:after="0" w:line="252" w:lineRule="auto"/>
            </w:pPr>
            <w:r>
              <w:rPr>
                <w:rFonts w:ascii="Aptos" w:hAnsi="Aptos"/>
                <w:b/>
                <w:i w:val="0"/>
                <w:color w:val="FFFFFF"/>
                <w:sz w:val="17"/>
              </w:rPr>
              <w:t>Mitigation</w:t>
            </w:r>
          </w:p>
        </w:tc>
        <w:tc>
          <w:tcPr>
            <w:tcW w:type="dxa" w:w="2736"/>
            <w:vAlign w:val="center"/>
            <w:tcW w:w="2736" w:type="dxa"/>
            <w:tcMar>
              <w:top w:w="80" w:type="dxa"/>
              <w:start w:w="120" w:type="dxa"/>
              <w:bottom w:w="80" w:type="dxa"/>
              <w:end w:w="120" w:type="dxa"/>
            </w:tcMar>
            <w:shd w:fill="12392F"/>
          </w:tcPr>
          <w:p>
            <w:pPr>
              <w:spacing w:after="0" w:line="252" w:lineRule="auto"/>
            </w:pPr>
            <w:r>
              <w:rPr>
                <w:rFonts w:ascii="Aptos" w:hAnsi="Aptos"/>
                <w:b/>
                <w:i w:val="0"/>
                <w:color w:val="FFFFFF"/>
                <w:sz w:val="17"/>
              </w:rPr>
              <w:t>Early warning</w:t>
            </w:r>
          </w:p>
        </w:tc>
      </w:tr>
      <w:tr>
        <w:tc>
          <w:tcPr>
            <w:tcW w:type="dxa" w:w="1944"/>
            <w:vAlign w:val="center"/>
            <w:tcW w:w="1944" w:type="dxa"/>
            <w:tcMar>
              <w:top w:w="80" w:type="dxa"/>
              <w:start w:w="120" w:type="dxa"/>
              <w:bottom w:w="80" w:type="dxa"/>
              <w:end w:w="120" w:type="dxa"/>
            </w:tcMar>
            <w:shd w:fill="FFFFFF"/>
          </w:tcPr>
          <w:p>
            <w:pPr>
              <w:spacing w:after="0" w:line="252" w:lineRule="auto"/>
            </w:pPr>
            <w:r>
              <w:rPr>
                <w:rFonts w:ascii="Aptos" w:hAnsi="Aptos"/>
                <w:b w:val="0"/>
                <w:i w:val="0"/>
                <w:color w:val="10221C"/>
                <w:sz w:val="17"/>
              </w:rPr>
              <w:t>Scanner abuse</w:t>
            </w:r>
          </w:p>
        </w:tc>
        <w:tc>
          <w:tcPr>
            <w:tcW w:type="dxa" w:w="4680"/>
            <w:vAlign w:val="center"/>
            <w:tcW w:w="4680" w:type="dxa"/>
            <w:tcMar>
              <w:top w:w="80" w:type="dxa"/>
              <w:start w:w="120" w:type="dxa"/>
              <w:bottom w:w="80" w:type="dxa"/>
              <w:end w:w="120" w:type="dxa"/>
            </w:tcMar>
            <w:shd w:fill="FFFFFF"/>
          </w:tcPr>
          <w:p>
            <w:pPr>
              <w:spacing w:after="0" w:line="252" w:lineRule="auto"/>
            </w:pPr>
            <w:r>
              <w:rPr>
                <w:rFonts w:ascii="Aptos" w:hAnsi="Aptos"/>
                <w:b w:val="0"/>
                <w:i w:val="0"/>
                <w:color w:val="10221C"/>
                <w:sz w:val="17"/>
              </w:rPr>
              <w:t>Verification, safe profiles, limits, review and kill switch.</w:t>
            </w:r>
          </w:p>
        </w:tc>
        <w:tc>
          <w:tcPr>
            <w:tcW w:type="dxa" w:w="2736"/>
            <w:vAlign w:val="center"/>
            <w:tcW w:w="2736" w:type="dxa"/>
            <w:tcMar>
              <w:top w:w="80" w:type="dxa"/>
              <w:start w:w="120" w:type="dxa"/>
              <w:bottom w:w="80" w:type="dxa"/>
              <w:end w:w="120" w:type="dxa"/>
            </w:tcMar>
            <w:shd w:fill="FFFFFF"/>
          </w:tcPr>
          <w:p>
            <w:pPr>
              <w:spacing w:after="0" w:line="252" w:lineRule="auto"/>
            </w:pPr>
            <w:r>
              <w:rPr>
                <w:rFonts w:ascii="Aptos" w:hAnsi="Aptos"/>
                <w:b w:val="0"/>
                <w:i w:val="0"/>
                <w:color w:val="10221C"/>
                <w:sz w:val="17"/>
              </w:rPr>
              <w:t>Rejected private targets; unusual volume.</w:t>
            </w:r>
          </w:p>
        </w:tc>
      </w:tr>
      <w:tr>
        <w:tc>
          <w:tcPr>
            <w:tcW w:type="dxa" w:w="1944"/>
            <w:vAlign w:val="center"/>
            <w:tcW w:w="1944" w:type="dxa"/>
            <w:tcMar>
              <w:top w:w="80" w:type="dxa"/>
              <w:start w:w="120" w:type="dxa"/>
              <w:bottom w:w="80" w:type="dxa"/>
              <w:end w:w="120" w:type="dxa"/>
            </w:tcMar>
            <w:shd w:fill="F3F5F1"/>
          </w:tcPr>
          <w:p>
            <w:pPr>
              <w:spacing w:after="0" w:line="252" w:lineRule="auto"/>
            </w:pPr>
            <w:r>
              <w:rPr>
                <w:rFonts w:ascii="Aptos" w:hAnsi="Aptos"/>
                <w:b w:val="0"/>
                <w:i w:val="0"/>
                <w:color w:val="10221C"/>
                <w:sz w:val="17"/>
              </w:rPr>
              <w:t>False confidence</w:t>
            </w:r>
          </w:p>
        </w:tc>
        <w:tc>
          <w:tcPr>
            <w:tcW w:type="dxa" w:w="4680"/>
            <w:vAlign w:val="center"/>
            <w:tcW w:w="4680" w:type="dxa"/>
            <w:tcMar>
              <w:top w:w="80" w:type="dxa"/>
              <w:start w:w="120" w:type="dxa"/>
              <w:bottom w:w="80" w:type="dxa"/>
              <w:end w:w="120" w:type="dxa"/>
            </w:tcMar>
            <w:shd w:fill="F3F5F1"/>
          </w:tcPr>
          <w:p>
            <w:pPr>
              <w:spacing w:after="0" w:line="252" w:lineRule="auto"/>
            </w:pPr>
            <w:r>
              <w:rPr>
                <w:rFonts w:ascii="Aptos" w:hAnsi="Aptos"/>
                <w:b w:val="0"/>
                <w:i w:val="0"/>
                <w:color w:val="10221C"/>
                <w:sz w:val="17"/>
              </w:rPr>
              <w:t>Transparent scope, evidence and limitations; no guarantee language.</w:t>
            </w:r>
          </w:p>
        </w:tc>
        <w:tc>
          <w:tcPr>
            <w:tcW w:type="dxa" w:w="2736"/>
            <w:vAlign w:val="center"/>
            <w:tcW w:w="2736" w:type="dxa"/>
            <w:tcMar>
              <w:top w:w="80" w:type="dxa"/>
              <w:start w:w="120" w:type="dxa"/>
              <w:bottom w:w="80" w:type="dxa"/>
              <w:end w:w="120" w:type="dxa"/>
            </w:tcMar>
            <w:shd w:fill="F3F5F1"/>
          </w:tcPr>
          <w:p>
            <w:pPr>
              <w:spacing w:after="0" w:line="252" w:lineRule="auto"/>
            </w:pPr>
            <w:r>
              <w:rPr>
                <w:rFonts w:ascii="Aptos" w:hAnsi="Aptos"/>
                <w:b w:val="0"/>
                <w:i w:val="0"/>
                <w:color w:val="10221C"/>
                <w:sz w:val="17"/>
              </w:rPr>
              <w:t>Score viewed without findings; customer disputes.</w:t>
            </w:r>
          </w:p>
        </w:tc>
      </w:tr>
      <w:tr>
        <w:tc>
          <w:tcPr>
            <w:tcW w:type="dxa" w:w="1944"/>
            <w:vAlign w:val="center"/>
            <w:tcW w:w="1944" w:type="dxa"/>
            <w:tcMar>
              <w:top w:w="80" w:type="dxa"/>
              <w:start w:w="120" w:type="dxa"/>
              <w:bottom w:w="80" w:type="dxa"/>
              <w:end w:w="120" w:type="dxa"/>
            </w:tcMar>
            <w:shd w:fill="FFFFFF"/>
          </w:tcPr>
          <w:p>
            <w:pPr>
              <w:spacing w:after="0" w:line="252" w:lineRule="auto"/>
            </w:pPr>
            <w:r>
              <w:rPr>
                <w:rFonts w:ascii="Aptos" w:hAnsi="Aptos"/>
                <w:b w:val="0"/>
                <w:i w:val="0"/>
                <w:color w:val="10221C"/>
                <w:sz w:val="17"/>
              </w:rPr>
              <w:t>Noisy findings</w:t>
            </w:r>
          </w:p>
        </w:tc>
        <w:tc>
          <w:tcPr>
            <w:tcW w:type="dxa" w:w="4680"/>
            <w:vAlign w:val="center"/>
            <w:tcW w:w="4680" w:type="dxa"/>
            <w:tcMar>
              <w:top w:w="80" w:type="dxa"/>
              <w:start w:w="120" w:type="dxa"/>
              <w:bottom w:w="80" w:type="dxa"/>
              <w:end w:w="120" w:type="dxa"/>
            </w:tcMar>
            <w:shd w:fill="FFFFFF"/>
          </w:tcPr>
          <w:p>
            <w:pPr>
              <w:spacing w:after="0" w:line="252" w:lineRule="auto"/>
            </w:pPr>
            <w:r>
              <w:rPr>
                <w:rFonts w:ascii="Aptos" w:hAnsi="Aptos"/>
                <w:b w:val="0"/>
                <w:i w:val="0"/>
                <w:color w:val="10221C"/>
                <w:sz w:val="17"/>
              </w:rPr>
              <w:t>Fixtures, confidence, rule telemetry and staged rollout.</w:t>
            </w:r>
          </w:p>
        </w:tc>
        <w:tc>
          <w:tcPr>
            <w:tcW w:type="dxa" w:w="2736"/>
            <w:vAlign w:val="center"/>
            <w:tcW w:w="2736" w:type="dxa"/>
            <w:tcMar>
              <w:top w:w="80" w:type="dxa"/>
              <w:start w:w="120" w:type="dxa"/>
              <w:bottom w:w="80" w:type="dxa"/>
              <w:end w:w="120" w:type="dxa"/>
            </w:tcMar>
            <w:shd w:fill="FFFFFF"/>
          </w:tcPr>
          <w:p>
            <w:pPr>
              <w:spacing w:after="0" w:line="252" w:lineRule="auto"/>
            </w:pPr>
            <w:r>
              <w:rPr>
                <w:rFonts w:ascii="Aptos" w:hAnsi="Aptos"/>
                <w:b w:val="0"/>
                <w:i w:val="0"/>
                <w:color w:val="10221C"/>
                <w:sz w:val="17"/>
              </w:rPr>
              <w:t>High dispute or suppression rate.</w:t>
            </w:r>
          </w:p>
        </w:tc>
      </w:tr>
      <w:tr>
        <w:tc>
          <w:tcPr>
            <w:tcW w:type="dxa" w:w="1944"/>
            <w:vAlign w:val="center"/>
            <w:tcW w:w="1944" w:type="dxa"/>
            <w:tcMar>
              <w:top w:w="80" w:type="dxa"/>
              <w:start w:w="120" w:type="dxa"/>
              <w:bottom w:w="80" w:type="dxa"/>
              <w:end w:w="120" w:type="dxa"/>
            </w:tcMar>
            <w:shd w:fill="F3F5F1"/>
          </w:tcPr>
          <w:p>
            <w:pPr>
              <w:spacing w:after="0" w:line="252" w:lineRule="auto"/>
            </w:pPr>
            <w:r>
              <w:rPr>
                <w:rFonts w:ascii="Aptos" w:hAnsi="Aptos"/>
                <w:b w:val="0"/>
                <w:i w:val="0"/>
                <w:color w:val="10221C"/>
                <w:sz w:val="17"/>
              </w:rPr>
              <w:t>Product compromise</w:t>
            </w:r>
          </w:p>
        </w:tc>
        <w:tc>
          <w:tcPr>
            <w:tcW w:type="dxa" w:w="4680"/>
            <w:vAlign w:val="center"/>
            <w:tcW w:w="4680" w:type="dxa"/>
            <w:tcMar>
              <w:top w:w="80" w:type="dxa"/>
              <w:start w:w="120" w:type="dxa"/>
              <w:bottom w:w="80" w:type="dxa"/>
              <w:end w:w="120" w:type="dxa"/>
            </w:tcMar>
            <w:shd w:fill="F3F5F1"/>
          </w:tcPr>
          <w:p>
            <w:pPr>
              <w:spacing w:after="0" w:line="252" w:lineRule="auto"/>
            </w:pPr>
            <w:r>
              <w:rPr>
                <w:rFonts w:ascii="Aptos" w:hAnsi="Aptos"/>
                <w:b w:val="0"/>
                <w:i w:val="0"/>
                <w:color w:val="10221C"/>
                <w:sz w:val="17"/>
              </w:rPr>
              <w:t>Threat model, isolation, secure SDLC and independent review.</w:t>
            </w:r>
          </w:p>
        </w:tc>
        <w:tc>
          <w:tcPr>
            <w:tcW w:type="dxa" w:w="2736"/>
            <w:vAlign w:val="center"/>
            <w:tcW w:w="2736" w:type="dxa"/>
            <w:tcMar>
              <w:top w:w="80" w:type="dxa"/>
              <w:start w:w="120" w:type="dxa"/>
              <w:bottom w:w="80" w:type="dxa"/>
              <w:end w:w="120" w:type="dxa"/>
            </w:tcMar>
            <w:shd w:fill="F3F5F1"/>
          </w:tcPr>
          <w:p>
            <w:pPr>
              <w:spacing w:after="0" w:line="252" w:lineRule="auto"/>
            </w:pPr>
            <w:r>
              <w:rPr>
                <w:rFonts w:ascii="Aptos" w:hAnsi="Aptos"/>
                <w:b w:val="0"/>
                <w:i w:val="0"/>
                <w:color w:val="10221C"/>
                <w:sz w:val="17"/>
              </w:rPr>
              <w:t>Secrets, auth anomalies, dependency alerts.</w:t>
            </w:r>
          </w:p>
        </w:tc>
      </w:tr>
      <w:tr>
        <w:tc>
          <w:tcPr>
            <w:tcW w:type="dxa" w:w="1944"/>
            <w:vAlign w:val="center"/>
            <w:tcW w:w="1944" w:type="dxa"/>
            <w:tcMar>
              <w:top w:w="80" w:type="dxa"/>
              <w:start w:w="120" w:type="dxa"/>
              <w:bottom w:w="80" w:type="dxa"/>
              <w:end w:w="120" w:type="dxa"/>
            </w:tcMar>
            <w:shd w:fill="FFFFFF"/>
          </w:tcPr>
          <w:p>
            <w:pPr>
              <w:spacing w:after="0" w:line="252" w:lineRule="auto"/>
            </w:pPr>
            <w:r>
              <w:rPr>
                <w:rFonts w:ascii="Aptos" w:hAnsi="Aptos"/>
                <w:b w:val="0"/>
                <w:i w:val="0"/>
                <w:color w:val="10221C"/>
                <w:sz w:val="17"/>
              </w:rPr>
              <w:t>Weak demand</w:t>
            </w:r>
          </w:p>
        </w:tc>
        <w:tc>
          <w:tcPr>
            <w:tcW w:type="dxa" w:w="4680"/>
            <w:vAlign w:val="center"/>
            <w:tcW w:w="4680" w:type="dxa"/>
            <w:tcMar>
              <w:top w:w="80" w:type="dxa"/>
              <w:start w:w="120" w:type="dxa"/>
              <w:bottom w:w="80" w:type="dxa"/>
              <w:end w:w="120" w:type="dxa"/>
            </w:tcMar>
            <w:shd w:fill="FFFFFF"/>
          </w:tcPr>
          <w:p>
            <w:pPr>
              <w:spacing w:after="0" w:line="252" w:lineRule="auto"/>
            </w:pPr>
            <w:r>
              <w:rPr>
                <w:rFonts w:ascii="Aptos" w:hAnsi="Aptos"/>
                <w:b w:val="0"/>
                <w:i w:val="0"/>
                <w:color w:val="10221C"/>
                <w:sz w:val="17"/>
              </w:rPr>
              <w:t>Discovery and paid design partners before feature expansion.</w:t>
            </w:r>
          </w:p>
        </w:tc>
        <w:tc>
          <w:tcPr>
            <w:tcW w:type="dxa" w:w="2736"/>
            <w:vAlign w:val="center"/>
            <w:tcW w:w="2736" w:type="dxa"/>
            <w:tcMar>
              <w:top w:w="80" w:type="dxa"/>
              <w:start w:w="120" w:type="dxa"/>
              <w:bottom w:w="80" w:type="dxa"/>
              <w:end w:w="120" w:type="dxa"/>
            </w:tcMar>
            <w:shd w:fill="FFFFFF"/>
          </w:tcPr>
          <w:p>
            <w:pPr>
              <w:spacing w:after="0" w:line="252" w:lineRule="auto"/>
            </w:pPr>
            <w:r>
              <w:rPr>
                <w:rFonts w:ascii="Aptos" w:hAnsi="Aptos"/>
                <w:b w:val="0"/>
                <w:i w:val="0"/>
                <w:color w:val="10221C"/>
                <w:sz w:val="17"/>
              </w:rPr>
              <w:t>Low repeated usage or willingness to pay.</w:t>
            </w:r>
          </w:p>
        </w:tc>
      </w:tr>
      <w:tr>
        <w:tc>
          <w:tcPr>
            <w:tcW w:type="dxa" w:w="1944"/>
            <w:vAlign w:val="center"/>
            <w:tcW w:w="1944" w:type="dxa"/>
            <w:tcMar>
              <w:top w:w="80" w:type="dxa"/>
              <w:start w:w="120" w:type="dxa"/>
              <w:bottom w:w="80" w:type="dxa"/>
              <w:end w:w="120" w:type="dxa"/>
            </w:tcMar>
            <w:shd w:fill="F3F5F1"/>
          </w:tcPr>
          <w:p>
            <w:pPr>
              <w:spacing w:after="0" w:line="252" w:lineRule="auto"/>
            </w:pPr>
            <w:r>
              <w:rPr>
                <w:rFonts w:ascii="Aptos" w:hAnsi="Aptos"/>
                <w:b w:val="0"/>
                <w:i w:val="0"/>
                <w:color w:val="10221C"/>
                <w:sz w:val="17"/>
              </w:rPr>
              <w:t>Cloud cost growth</w:t>
            </w:r>
          </w:p>
        </w:tc>
        <w:tc>
          <w:tcPr>
            <w:tcW w:type="dxa" w:w="4680"/>
            <w:vAlign w:val="center"/>
            <w:tcW w:w="4680" w:type="dxa"/>
            <w:tcMar>
              <w:top w:w="80" w:type="dxa"/>
              <w:start w:w="120" w:type="dxa"/>
              <w:bottom w:w="80" w:type="dxa"/>
              <w:end w:w="120" w:type="dxa"/>
            </w:tcMar>
            <w:shd w:fill="F3F5F1"/>
          </w:tcPr>
          <w:p>
            <w:pPr>
              <w:spacing w:after="0" w:line="252" w:lineRule="auto"/>
            </w:pPr>
            <w:r>
              <w:rPr>
                <w:rFonts w:ascii="Aptos" w:hAnsi="Aptos"/>
                <w:b w:val="0"/>
                <w:i w:val="0"/>
                <w:color w:val="10221C"/>
                <w:sz w:val="17"/>
              </w:rPr>
              <w:t>Quotas, caching, job budgets and cost per protected asset.</w:t>
            </w:r>
          </w:p>
        </w:tc>
        <w:tc>
          <w:tcPr>
            <w:tcW w:type="dxa" w:w="2736"/>
            <w:vAlign w:val="center"/>
            <w:tcW w:w="2736" w:type="dxa"/>
            <w:tcMar>
              <w:top w:w="80" w:type="dxa"/>
              <w:start w:w="120" w:type="dxa"/>
              <w:bottom w:w="80" w:type="dxa"/>
              <w:end w:w="120" w:type="dxa"/>
            </w:tcMar>
            <w:shd w:fill="F3F5F1"/>
          </w:tcPr>
          <w:p>
            <w:pPr>
              <w:spacing w:after="0" w:line="252" w:lineRule="auto"/>
            </w:pPr>
            <w:r>
              <w:rPr>
                <w:rFonts w:ascii="Aptos" w:hAnsi="Aptos"/>
                <w:b w:val="0"/>
                <w:i w:val="0"/>
                <w:color w:val="10221C"/>
                <w:sz w:val="17"/>
              </w:rPr>
              <w:t>Cost rises faster than active assets.</w:t>
            </w:r>
          </w:p>
        </w:tc>
      </w:tr>
      <w:tr>
        <w:tc>
          <w:tcPr>
            <w:tcW w:type="dxa" w:w="1944"/>
            <w:vAlign w:val="center"/>
            <w:tcW w:w="1944" w:type="dxa"/>
            <w:tcMar>
              <w:top w:w="80" w:type="dxa"/>
              <w:start w:w="120" w:type="dxa"/>
              <w:bottom w:w="80" w:type="dxa"/>
              <w:end w:w="120" w:type="dxa"/>
            </w:tcMar>
            <w:shd w:fill="FFFFFF"/>
          </w:tcPr>
          <w:p>
            <w:pPr>
              <w:spacing w:after="0" w:line="252" w:lineRule="auto"/>
            </w:pPr>
            <w:r>
              <w:rPr>
                <w:rFonts w:ascii="Aptos" w:hAnsi="Aptos"/>
                <w:b w:val="0"/>
                <w:i w:val="0"/>
                <w:color w:val="10221C"/>
                <w:sz w:val="17"/>
              </w:rPr>
              <w:t>Regulatory error</w:t>
            </w:r>
          </w:p>
        </w:tc>
        <w:tc>
          <w:tcPr>
            <w:tcW w:type="dxa" w:w="4680"/>
            <w:vAlign w:val="center"/>
            <w:tcW w:w="4680" w:type="dxa"/>
            <w:tcMar>
              <w:top w:w="80" w:type="dxa"/>
              <w:start w:w="120" w:type="dxa"/>
              <w:bottom w:w="80" w:type="dxa"/>
              <w:end w:w="120" w:type="dxa"/>
            </w:tcMar>
            <w:shd w:fill="FFFFFF"/>
          </w:tcPr>
          <w:p>
            <w:pPr>
              <w:spacing w:after="0" w:line="252" w:lineRule="auto"/>
            </w:pPr>
            <w:r>
              <w:rPr>
                <w:rFonts w:ascii="Aptos" w:hAnsi="Aptos"/>
                <w:b w:val="0"/>
                <w:i w:val="0"/>
                <w:color w:val="10221C"/>
                <w:sz w:val="17"/>
              </w:rPr>
              <w:t>Local legal review, minimization and documented processing.</w:t>
            </w:r>
          </w:p>
        </w:tc>
        <w:tc>
          <w:tcPr>
            <w:tcW w:type="dxa" w:w="2736"/>
            <w:vAlign w:val="center"/>
            <w:tcW w:w="2736" w:type="dxa"/>
            <w:tcMar>
              <w:top w:w="80" w:type="dxa"/>
              <w:start w:w="120" w:type="dxa"/>
              <w:bottom w:w="80" w:type="dxa"/>
              <w:end w:w="120" w:type="dxa"/>
            </w:tcMar>
            <w:shd w:fill="FFFFFF"/>
          </w:tcPr>
          <w:p>
            <w:pPr>
              <w:spacing w:after="0" w:line="252" w:lineRule="auto"/>
            </w:pPr>
            <w:r>
              <w:rPr>
                <w:rFonts w:ascii="Aptos" w:hAnsi="Aptos"/>
                <w:b w:val="0"/>
                <w:i w:val="0"/>
                <w:color w:val="10221C"/>
                <w:sz w:val="17"/>
              </w:rPr>
              <w:t>Unclear retention or customer requests.</w:t>
            </w:r>
          </w:p>
        </w:tc>
      </w:tr>
      <w:tr>
        <w:tc>
          <w:tcPr>
            <w:tcW w:type="dxa" w:w="1944"/>
            <w:vAlign w:val="center"/>
            <w:tcW w:w="1944" w:type="dxa"/>
            <w:tcMar>
              <w:top w:w="80" w:type="dxa"/>
              <w:start w:w="120" w:type="dxa"/>
              <w:bottom w:w="80" w:type="dxa"/>
              <w:end w:w="120" w:type="dxa"/>
            </w:tcMar>
            <w:shd w:fill="F3F5F1"/>
          </w:tcPr>
          <w:p>
            <w:pPr>
              <w:spacing w:after="0" w:line="252" w:lineRule="auto"/>
            </w:pPr>
            <w:r>
              <w:rPr>
                <w:rFonts w:ascii="Aptos" w:hAnsi="Aptos"/>
                <w:b w:val="0"/>
                <w:i w:val="0"/>
                <w:color w:val="10221C"/>
                <w:sz w:val="17"/>
              </w:rPr>
              <w:t>Brand collision</w:t>
            </w:r>
          </w:p>
        </w:tc>
        <w:tc>
          <w:tcPr>
            <w:tcW w:type="dxa" w:w="4680"/>
            <w:vAlign w:val="center"/>
            <w:tcW w:w="4680" w:type="dxa"/>
            <w:tcMar>
              <w:top w:w="80" w:type="dxa"/>
              <w:start w:w="120" w:type="dxa"/>
              <w:bottom w:w="80" w:type="dxa"/>
              <w:end w:w="120" w:type="dxa"/>
            </w:tcMar>
            <w:shd w:fill="F3F5F1"/>
          </w:tcPr>
          <w:p>
            <w:pPr>
              <w:spacing w:after="0" w:line="252" w:lineRule="auto"/>
            </w:pPr>
            <w:r>
              <w:rPr>
                <w:rFonts w:ascii="Aptos" w:hAnsi="Aptos"/>
                <w:b w:val="0"/>
                <w:i w:val="0"/>
                <w:color w:val="10221C"/>
                <w:sz w:val="17"/>
              </w:rPr>
              <w:t>Formal company/trademark search and prompt domain registration.</w:t>
            </w:r>
          </w:p>
        </w:tc>
        <w:tc>
          <w:tcPr>
            <w:tcW w:type="dxa" w:w="2736"/>
            <w:vAlign w:val="center"/>
            <w:tcW w:w="2736" w:type="dxa"/>
            <w:tcMar>
              <w:top w:w="80" w:type="dxa"/>
              <w:start w:w="120" w:type="dxa"/>
              <w:bottom w:w="80" w:type="dxa"/>
              <w:end w:w="120" w:type="dxa"/>
            </w:tcMar>
            <w:shd w:fill="F3F5F1"/>
          </w:tcPr>
          <w:p>
            <w:pPr>
              <w:spacing w:after="0" w:line="252" w:lineRule="auto"/>
            </w:pPr>
            <w:r>
              <w:rPr>
                <w:rFonts w:ascii="Aptos" w:hAnsi="Aptos"/>
                <w:b w:val="0"/>
                <w:i w:val="0"/>
                <w:color w:val="10221C"/>
                <w:sz w:val="17"/>
              </w:rPr>
              <w:t>Confusingly similar regional service.</w:t>
            </w:r>
          </w:p>
        </w:tc>
      </w:tr>
    </w:tbl>
    <w:p>
      <w:pPr>
        <w:spacing w:after="40"/>
      </w:pPr>
    </w:p>
    <w:p>
      <w:pPr>
        <w:pStyle w:val="Heading1"/>
      </w:pPr>
      <w:r>
        <w:t>15. Release-One completion checklist</w:t>
      </w:r>
    </w:p>
    <w:p>
      <w:pPr>
        <w:pStyle w:val="Callout"/>
        <w:shd w:fill="EAF3E7"/>
        <w:spacing w:before="170" w:after="170"/>
      </w:pPr>
      <w:r>
        <w:rPr>
          <w:rFonts w:ascii="Aptos" w:hAnsi="Aptos"/>
          <w:b/>
          <w:i w:val="0"/>
          <w:color w:val="12392F"/>
          <w:sz w:val="19"/>
        </w:rPr>
        <w:t xml:space="preserve">MEANING OF 100%  </w:t>
      </w:r>
      <w:r>
        <w:rPr>
          <w:rFonts w:ascii="Aptos" w:hAnsi="Aptos"/>
          <w:b w:val="0"/>
          <w:i w:val="0"/>
          <w:color w:val="10221C"/>
          <w:sz w:val="21"/>
        </w:rPr>
        <w:t>Release One is 100% only when every mandatory gate below is evidenced. Optional backlog size does not affect release completion.</w:t>
      </w:r>
    </w:p>
    <w:p>
      <w:pPr>
        <w:pStyle w:val="Heading2"/>
      </w:pPr>
      <w:r>
        <w:t>Product and experience</w:t>
      </w:r>
    </w:p>
    <w:p>
      <w:pPr>
        <w:pStyle w:val="ListBullet"/>
      </w:pPr>
      <w:r>
        <w:rPr>
          <w:rFonts w:ascii="Aptos" w:hAnsi="Aptos"/>
          <w:b w:val="0"/>
          <w:i w:val="0"/>
          <w:color w:val="10221C"/>
          <w:sz w:val="22"/>
        </w:rPr>
        <w:t>☐ Target persona and problem validated</w:t>
      </w:r>
    </w:p>
    <w:p>
      <w:pPr>
        <w:pStyle w:val="ListBullet"/>
      </w:pPr>
      <w:r>
        <w:rPr>
          <w:rFonts w:ascii="Aptos" w:hAnsi="Aptos"/>
          <w:b w:val="0"/>
          <w:i w:val="0"/>
          <w:color w:val="10221C"/>
          <w:sz w:val="22"/>
        </w:rPr>
        <w:t>☐ English production copy complete; Kiswahili architecture ready</w:t>
      </w:r>
    </w:p>
    <w:p>
      <w:pPr>
        <w:pStyle w:val="ListBullet"/>
      </w:pPr>
      <w:r>
        <w:rPr>
          <w:rFonts w:ascii="Aptos" w:hAnsi="Aptos"/>
          <w:b w:val="0"/>
          <w:i w:val="0"/>
          <w:color w:val="10221C"/>
          <w:sz w:val="22"/>
        </w:rPr>
        <w:t>☐ All core journeys complete on mobile and desktop</w:t>
      </w:r>
    </w:p>
    <w:p>
      <w:pPr>
        <w:pStyle w:val="ListBullet"/>
      </w:pPr>
      <w:r>
        <w:rPr>
          <w:rFonts w:ascii="Aptos" w:hAnsi="Aptos"/>
          <w:b w:val="0"/>
          <w:i w:val="0"/>
          <w:color w:val="10221C"/>
          <w:sz w:val="22"/>
        </w:rPr>
        <w:t>☐ Empty, loading, error and offline-tolerant states designed</w:t>
      </w:r>
    </w:p>
    <w:p>
      <w:pPr>
        <w:pStyle w:val="ListBullet"/>
      </w:pPr>
      <w:r>
        <w:rPr>
          <w:rFonts w:ascii="Aptos" w:hAnsi="Aptos"/>
          <w:b w:val="0"/>
          <w:i w:val="0"/>
          <w:color w:val="10221C"/>
          <w:sz w:val="22"/>
        </w:rPr>
        <w:t>☐ Accessibility review passed</w:t>
      </w:r>
    </w:p>
    <w:p>
      <w:pPr>
        <w:pStyle w:val="ListBullet"/>
      </w:pPr>
      <w:r>
        <w:rPr>
          <w:rFonts w:ascii="Aptos" w:hAnsi="Aptos"/>
          <w:b w:val="0"/>
          <w:i w:val="0"/>
          <w:color w:val="10221C"/>
          <w:sz w:val="22"/>
        </w:rPr>
        <w:t>☐ Pricing and cancellation transparent</w:t>
      </w:r>
    </w:p>
    <w:p>
      <w:pPr>
        <w:pStyle w:val="Heading2"/>
      </w:pPr>
      <w:r>
        <w:t>Core capabilities</w:t>
      </w:r>
    </w:p>
    <w:p>
      <w:pPr>
        <w:pStyle w:val="ListBullet"/>
      </w:pPr>
      <w:r>
        <w:rPr>
          <w:rFonts w:ascii="Aptos" w:hAnsi="Aptos"/>
          <w:b w:val="0"/>
          <w:i w:val="0"/>
          <w:color w:val="10221C"/>
          <w:sz w:val="22"/>
        </w:rPr>
        <w:t>☐ Account, workspace and role management</w:t>
      </w:r>
    </w:p>
    <w:p>
      <w:pPr>
        <w:pStyle w:val="ListBullet"/>
      </w:pPr>
      <w:r>
        <w:rPr>
          <w:rFonts w:ascii="Aptos" w:hAnsi="Aptos"/>
          <w:b w:val="0"/>
          <w:i w:val="0"/>
          <w:color w:val="10221C"/>
          <w:sz w:val="22"/>
        </w:rPr>
        <w:t>☐ Domain ownership verification</w:t>
      </w:r>
    </w:p>
    <w:p>
      <w:pPr>
        <w:pStyle w:val="ListBullet"/>
      </w:pPr>
      <w:r>
        <w:rPr>
          <w:rFonts w:ascii="Aptos" w:hAnsi="Aptos"/>
          <w:b w:val="0"/>
          <w:i w:val="0"/>
          <w:color w:val="10221C"/>
          <w:sz w:val="22"/>
        </w:rPr>
        <w:t>☐ Safe on-demand and scheduled scans</w:t>
      </w:r>
    </w:p>
    <w:p>
      <w:pPr>
        <w:pStyle w:val="ListBullet"/>
      </w:pPr>
      <w:r>
        <w:rPr>
          <w:rFonts w:ascii="Aptos" w:hAnsi="Aptos"/>
          <w:b w:val="0"/>
          <w:i w:val="0"/>
          <w:color w:val="10221C"/>
          <w:sz w:val="22"/>
        </w:rPr>
        <w:t>☐ TLS, HTTP, DNS and email-domain checks</w:t>
      </w:r>
    </w:p>
    <w:p>
      <w:pPr>
        <w:pStyle w:val="ListBullet"/>
      </w:pPr>
      <w:r>
        <w:rPr>
          <w:rFonts w:ascii="Aptos" w:hAnsi="Aptos"/>
          <w:b w:val="0"/>
          <w:i w:val="0"/>
          <w:color w:val="10221C"/>
          <w:sz w:val="22"/>
        </w:rPr>
        <w:t>☐ Versioned findings and transparent score</w:t>
      </w:r>
    </w:p>
    <w:p>
      <w:pPr>
        <w:pStyle w:val="ListBullet"/>
      </w:pPr>
      <w:r>
        <w:rPr>
          <w:rFonts w:ascii="Aptos" w:hAnsi="Aptos"/>
          <w:b w:val="0"/>
          <w:i w:val="0"/>
          <w:color w:val="10221C"/>
          <w:sz w:val="22"/>
        </w:rPr>
        <w:t>☐ History and change detection</w:t>
      </w:r>
    </w:p>
    <w:p>
      <w:pPr>
        <w:pStyle w:val="ListBullet"/>
      </w:pPr>
      <w:r>
        <w:rPr>
          <w:rFonts w:ascii="Aptos" w:hAnsi="Aptos"/>
          <w:b w:val="0"/>
          <w:i w:val="0"/>
          <w:color w:val="10221C"/>
          <w:sz w:val="22"/>
        </w:rPr>
        <w:t>☐ Assignment, remediation and verified rescan</w:t>
      </w:r>
    </w:p>
    <w:p>
      <w:pPr>
        <w:pStyle w:val="ListBullet"/>
      </w:pPr>
      <w:r>
        <w:rPr>
          <w:rFonts w:ascii="Aptos" w:hAnsi="Aptos"/>
          <w:b w:val="0"/>
          <w:i w:val="0"/>
          <w:color w:val="10221C"/>
          <w:sz w:val="22"/>
        </w:rPr>
        <w:t>☐ Alerts and downloadable report</w:t>
      </w:r>
    </w:p>
    <w:p>
      <w:pPr>
        <w:pStyle w:val="ListBullet"/>
      </w:pPr>
      <w:r>
        <w:rPr>
          <w:rFonts w:ascii="Aptos" w:hAnsi="Aptos"/>
          <w:b w:val="0"/>
          <w:i w:val="0"/>
          <w:color w:val="10221C"/>
          <w:sz w:val="22"/>
        </w:rPr>
        <w:t>☐ Agency portfolio baseline</w:t>
      </w:r>
    </w:p>
    <w:p>
      <w:pPr>
        <w:pStyle w:val="ListBullet"/>
      </w:pPr>
      <w:r>
        <w:rPr>
          <w:rFonts w:ascii="Aptos" w:hAnsi="Aptos"/>
          <w:b w:val="0"/>
          <w:i w:val="0"/>
          <w:color w:val="10221C"/>
          <w:sz w:val="22"/>
        </w:rPr>
        <w:t>☐ Audit log and account/data controls</w:t>
      </w:r>
    </w:p>
    <w:p>
      <w:pPr>
        <w:pStyle w:val="Heading2"/>
      </w:pPr>
      <w:r>
        <w:t>AI intelligence</w:t>
      </w:r>
    </w:p>
    <w:p>
      <w:pPr>
        <w:pStyle w:val="ListBullet"/>
      </w:pPr>
      <w:r>
        <w:rPr>
          <w:rFonts w:ascii="Aptos" w:hAnsi="Aptos"/>
          <w:b w:val="0"/>
          <w:i w:val="0"/>
          <w:color w:val="10221C"/>
          <w:sz w:val="22"/>
        </w:rPr>
        <w:t>☐ Deterministic evidence remains authoritative</w:t>
      </w:r>
    </w:p>
    <w:p>
      <w:pPr>
        <w:pStyle w:val="ListBullet"/>
      </w:pPr>
      <w:r>
        <w:rPr>
          <w:rFonts w:ascii="Aptos" w:hAnsi="Aptos"/>
          <w:b w:val="0"/>
          <w:i w:val="0"/>
          <w:color w:val="10221C"/>
          <w:sz w:val="22"/>
        </w:rPr>
        <w:t>☐ Evidence-grounded summaries link to observations</w:t>
      </w:r>
    </w:p>
    <w:p>
      <w:pPr>
        <w:pStyle w:val="ListBullet"/>
      </w:pPr>
      <w:r>
        <w:rPr>
          <w:rFonts w:ascii="Aptos" w:hAnsi="Aptos"/>
          <w:b w:val="0"/>
          <w:i w:val="0"/>
          <w:color w:val="10221C"/>
          <w:sz w:val="22"/>
        </w:rPr>
        <w:t>☐ Model gateway, budgets and tenant-scoped retrieval implemented</w:t>
      </w:r>
    </w:p>
    <w:p>
      <w:pPr>
        <w:pStyle w:val="ListBullet"/>
      </w:pPr>
      <w:r>
        <w:rPr>
          <w:rFonts w:ascii="Aptos" w:hAnsi="Aptos"/>
          <w:b w:val="0"/>
          <w:i w:val="0"/>
          <w:color w:val="10221C"/>
          <w:sz w:val="22"/>
        </w:rPr>
        <w:t>☐ Prompt-injection and excessive-agency tests pass</w:t>
      </w:r>
    </w:p>
    <w:p>
      <w:pPr>
        <w:pStyle w:val="ListBullet"/>
      </w:pPr>
      <w:r>
        <w:rPr>
          <w:rFonts w:ascii="Aptos" w:hAnsi="Aptos"/>
          <w:b w:val="0"/>
          <w:i w:val="0"/>
          <w:color w:val="10221C"/>
          <w:sz w:val="22"/>
        </w:rPr>
        <w:t>☐ Human approval enforced for consequential actions</w:t>
      </w:r>
    </w:p>
    <w:p>
      <w:pPr>
        <w:pStyle w:val="ListBullet"/>
      </w:pPr>
      <w:r>
        <w:rPr>
          <w:rFonts w:ascii="Aptos" w:hAnsi="Aptos"/>
          <w:b w:val="0"/>
          <w:i w:val="0"/>
          <w:color w:val="10221C"/>
          <w:sz w:val="22"/>
        </w:rPr>
        <w:t>☐ Golden-set accuracy and bilingual evaluation accepted</w:t>
      </w:r>
    </w:p>
    <w:p>
      <w:pPr>
        <w:pStyle w:val="ListBullet"/>
      </w:pPr>
      <w:r>
        <w:rPr>
          <w:rFonts w:ascii="Aptos" w:hAnsi="Aptos"/>
          <w:b w:val="0"/>
          <w:i w:val="0"/>
          <w:color w:val="10221C"/>
          <w:sz w:val="22"/>
        </w:rPr>
        <w:t>☐ AI kill switch, rollback and provider-failure fallback proven</w:t>
      </w:r>
    </w:p>
    <w:p>
      <w:pPr>
        <w:pStyle w:val="ListBullet"/>
      </w:pPr>
      <w:r>
        <w:rPr>
          <w:rFonts w:ascii="Aptos" w:hAnsi="Aptos"/>
          <w:b w:val="0"/>
          <w:i w:val="0"/>
          <w:color w:val="10221C"/>
          <w:sz w:val="22"/>
        </w:rPr>
        <w:t>☐ Customer AI controls and retention disclosures published</w:t>
      </w:r>
    </w:p>
    <w:p>
      <w:pPr>
        <w:pStyle w:val="Heading2"/>
      </w:pPr>
      <w:r>
        <w:t>Security and privacy</w:t>
      </w:r>
    </w:p>
    <w:p>
      <w:pPr>
        <w:pStyle w:val="ListBullet"/>
      </w:pPr>
      <w:r>
        <w:rPr>
          <w:rFonts w:ascii="Aptos" w:hAnsi="Aptos"/>
          <w:b w:val="0"/>
          <w:i w:val="0"/>
          <w:color w:val="10221C"/>
          <w:sz w:val="22"/>
        </w:rPr>
        <w:t>☐ Threat model reviewed</w:t>
      </w:r>
    </w:p>
    <w:p>
      <w:pPr>
        <w:pStyle w:val="ListBullet"/>
      </w:pPr>
      <w:r>
        <w:rPr>
          <w:rFonts w:ascii="Aptos" w:hAnsi="Aptos"/>
          <w:b w:val="0"/>
          <w:i w:val="0"/>
          <w:color w:val="10221C"/>
          <w:sz w:val="22"/>
        </w:rPr>
        <w:t>☐ SSRF and redirect protections tested</w:t>
      </w:r>
    </w:p>
    <w:p>
      <w:pPr>
        <w:pStyle w:val="ListBullet"/>
      </w:pPr>
      <w:r>
        <w:rPr>
          <w:rFonts w:ascii="Aptos" w:hAnsi="Aptos"/>
          <w:b w:val="0"/>
          <w:i w:val="0"/>
          <w:color w:val="10221C"/>
          <w:sz w:val="22"/>
        </w:rPr>
        <w:t>☐ Tenant isolation tests passed</w:t>
      </w:r>
    </w:p>
    <w:p>
      <w:pPr>
        <w:pStyle w:val="ListBullet"/>
      </w:pPr>
      <w:r>
        <w:rPr>
          <w:rFonts w:ascii="Aptos" w:hAnsi="Aptos"/>
          <w:b w:val="0"/>
          <w:i w:val="0"/>
          <w:color w:val="10221C"/>
          <w:sz w:val="22"/>
        </w:rPr>
        <w:t>☐ Worker sandbox and egress controls verified</w:t>
      </w:r>
    </w:p>
    <w:p>
      <w:pPr>
        <w:pStyle w:val="ListBullet"/>
      </w:pPr>
      <w:r>
        <w:rPr>
          <w:rFonts w:ascii="Aptos" w:hAnsi="Aptos"/>
          <w:b w:val="0"/>
          <w:i w:val="0"/>
          <w:color w:val="10221C"/>
          <w:sz w:val="22"/>
        </w:rPr>
        <w:t>☐ MFA for privileged access</w:t>
      </w:r>
    </w:p>
    <w:p>
      <w:pPr>
        <w:pStyle w:val="ListBullet"/>
      </w:pPr>
      <w:r>
        <w:rPr>
          <w:rFonts w:ascii="Aptos" w:hAnsi="Aptos"/>
          <w:b w:val="0"/>
          <w:i w:val="0"/>
          <w:color w:val="10221C"/>
          <w:sz w:val="22"/>
        </w:rPr>
        <w:t>☐ Secret and dependency scanning clean</w:t>
      </w:r>
    </w:p>
    <w:p>
      <w:pPr>
        <w:pStyle w:val="ListBullet"/>
      </w:pPr>
      <w:r>
        <w:rPr>
          <w:rFonts w:ascii="Aptos" w:hAnsi="Aptos"/>
          <w:b w:val="0"/>
          <w:i w:val="0"/>
          <w:color w:val="10221C"/>
          <w:sz w:val="22"/>
        </w:rPr>
        <w:t>☐ Data inventory, retention and deletion implemented</w:t>
      </w:r>
    </w:p>
    <w:p>
      <w:pPr>
        <w:pStyle w:val="ListBullet"/>
      </w:pPr>
      <w:r>
        <w:rPr>
          <w:rFonts w:ascii="Aptos" w:hAnsi="Aptos"/>
          <w:b w:val="0"/>
          <w:i w:val="0"/>
          <w:color w:val="10221C"/>
          <w:sz w:val="22"/>
        </w:rPr>
        <w:t>☐ Vulnerability disclosure and acceptable-use policies published</w:t>
      </w:r>
    </w:p>
    <w:p>
      <w:pPr>
        <w:pStyle w:val="ListBullet"/>
      </w:pPr>
      <w:r>
        <w:rPr>
          <w:rFonts w:ascii="Aptos" w:hAnsi="Aptos"/>
          <w:b w:val="0"/>
          <w:i w:val="0"/>
          <w:color w:val="10221C"/>
          <w:sz w:val="22"/>
        </w:rPr>
        <w:t>☐ Independent security review completed</w:t>
      </w:r>
    </w:p>
    <w:p>
      <w:pPr>
        <w:pStyle w:val="ListBullet"/>
      </w:pPr>
      <w:r>
        <w:rPr>
          <w:rFonts w:ascii="Aptos" w:hAnsi="Aptos"/>
          <w:b w:val="0"/>
          <w:i w:val="0"/>
          <w:color w:val="10221C"/>
          <w:sz w:val="22"/>
        </w:rPr>
        <w:t>☐ No open Critical/High security defects</w:t>
      </w:r>
    </w:p>
    <w:p>
      <w:pPr>
        <w:pStyle w:val="Heading2"/>
      </w:pPr>
      <w:r>
        <w:t>Reliability and operations</w:t>
      </w:r>
    </w:p>
    <w:p>
      <w:pPr>
        <w:pStyle w:val="ListBullet"/>
      </w:pPr>
      <w:r>
        <w:rPr>
          <w:rFonts w:ascii="Aptos" w:hAnsi="Aptos"/>
          <w:b w:val="0"/>
          <w:i w:val="0"/>
          <w:color w:val="10221C"/>
          <w:sz w:val="22"/>
        </w:rPr>
        <w:t>☐ Production infrastructure reproducible</w:t>
      </w:r>
    </w:p>
    <w:p>
      <w:pPr>
        <w:pStyle w:val="ListBullet"/>
      </w:pPr>
      <w:r>
        <w:rPr>
          <w:rFonts w:ascii="Aptos" w:hAnsi="Aptos"/>
          <w:b w:val="0"/>
          <w:i w:val="0"/>
          <w:color w:val="10221C"/>
          <w:sz w:val="22"/>
        </w:rPr>
        <w:t>☐ Monitoring, logs, traces and alerts live</w:t>
      </w:r>
    </w:p>
    <w:p>
      <w:pPr>
        <w:pStyle w:val="ListBullet"/>
      </w:pPr>
      <w:r>
        <w:rPr>
          <w:rFonts w:ascii="Aptos" w:hAnsi="Aptos"/>
          <w:b w:val="0"/>
          <w:i w:val="0"/>
          <w:color w:val="10221C"/>
          <w:sz w:val="22"/>
        </w:rPr>
        <w:t>☐ Backups restored in rehearsal</w:t>
      </w:r>
    </w:p>
    <w:p>
      <w:pPr>
        <w:pStyle w:val="ListBullet"/>
      </w:pPr>
      <w:r>
        <w:rPr>
          <w:rFonts w:ascii="Aptos" w:hAnsi="Aptos"/>
          <w:b w:val="0"/>
          <w:i w:val="0"/>
          <w:color w:val="10221C"/>
          <w:sz w:val="22"/>
        </w:rPr>
        <w:t>☐ Incident response tabletop completed</w:t>
      </w:r>
    </w:p>
    <w:p>
      <w:pPr>
        <w:pStyle w:val="ListBullet"/>
      </w:pPr>
      <w:r>
        <w:rPr>
          <w:rFonts w:ascii="Aptos" w:hAnsi="Aptos"/>
          <w:b w:val="0"/>
          <w:i w:val="0"/>
          <w:color w:val="10221C"/>
          <w:sz w:val="22"/>
        </w:rPr>
        <w:t>☐ Status page and support process live</w:t>
      </w:r>
    </w:p>
    <w:p>
      <w:pPr>
        <w:pStyle w:val="ListBullet"/>
      </w:pPr>
      <w:r>
        <w:rPr>
          <w:rFonts w:ascii="Aptos" w:hAnsi="Aptos"/>
          <w:b w:val="0"/>
          <w:i w:val="0"/>
          <w:color w:val="10221C"/>
          <w:sz w:val="22"/>
        </w:rPr>
        <w:t>☐ SLO dashboards and runbooks approved</w:t>
      </w:r>
    </w:p>
    <w:p>
      <w:pPr>
        <w:pStyle w:val="ListBullet"/>
      </w:pPr>
      <w:r>
        <w:rPr>
          <w:rFonts w:ascii="Aptos" w:hAnsi="Aptos"/>
          <w:b w:val="0"/>
          <w:i w:val="0"/>
          <w:color w:val="10221C"/>
          <w:sz w:val="22"/>
        </w:rPr>
        <w:t>☐ Rollback and rule-disable mechanisms proven</w:t>
      </w:r>
    </w:p>
    <w:p>
      <w:pPr>
        <w:pStyle w:val="ListBullet"/>
      </w:pPr>
      <w:r>
        <w:rPr>
          <w:rFonts w:ascii="Aptos" w:hAnsi="Aptos"/>
          <w:b w:val="0"/>
          <w:i w:val="0"/>
          <w:color w:val="10221C"/>
          <w:sz w:val="22"/>
        </w:rPr>
        <w:t>☐ Cost and abuse limits configured</w:t>
      </w:r>
    </w:p>
    <w:p>
      <w:pPr>
        <w:pStyle w:val="Heading2"/>
      </w:pPr>
      <w:r>
        <w:t>Business readiness</w:t>
      </w:r>
    </w:p>
    <w:p>
      <w:pPr>
        <w:pStyle w:val="ListBullet"/>
      </w:pPr>
      <w:r>
        <w:rPr>
          <w:rFonts w:ascii="Aptos" w:hAnsi="Aptos"/>
          <w:b w:val="0"/>
          <w:i w:val="0"/>
          <w:color w:val="10221C"/>
          <w:sz w:val="22"/>
        </w:rPr>
        <w:t>☐ At least 10 active pilot organizations or an approved evidence-based threshold</w:t>
      </w:r>
    </w:p>
    <w:p>
      <w:pPr>
        <w:pStyle w:val="ListBullet"/>
      </w:pPr>
      <w:r>
        <w:rPr>
          <w:rFonts w:ascii="Aptos" w:hAnsi="Aptos"/>
          <w:b w:val="0"/>
          <w:i w:val="0"/>
          <w:color w:val="10221C"/>
          <w:sz w:val="22"/>
        </w:rPr>
        <w:t>☐ Design partners confirm usefulness</w:t>
      </w:r>
    </w:p>
    <w:p>
      <w:pPr>
        <w:pStyle w:val="ListBullet"/>
      </w:pPr>
      <w:r>
        <w:rPr>
          <w:rFonts w:ascii="Aptos" w:hAnsi="Aptos"/>
          <w:b w:val="0"/>
          <w:i w:val="0"/>
          <w:color w:val="10221C"/>
          <w:sz w:val="22"/>
        </w:rPr>
        <w:t>☐ Billing and invoicing tested</w:t>
      </w:r>
    </w:p>
    <w:p>
      <w:pPr>
        <w:pStyle w:val="ListBullet"/>
      </w:pPr>
      <w:r>
        <w:rPr>
          <w:rFonts w:ascii="Aptos" w:hAnsi="Aptos"/>
          <w:b w:val="0"/>
          <w:i w:val="0"/>
          <w:color w:val="10221C"/>
          <w:sz w:val="22"/>
        </w:rPr>
        <w:t>☐ Terms, privacy and local legal review complete</w:t>
      </w:r>
    </w:p>
    <w:p>
      <w:pPr>
        <w:pStyle w:val="ListBullet"/>
      </w:pPr>
      <w:r>
        <w:rPr>
          <w:rFonts w:ascii="Aptos" w:hAnsi="Aptos"/>
          <w:b w:val="0"/>
          <w:i w:val="0"/>
          <w:color w:val="10221C"/>
          <w:sz w:val="22"/>
        </w:rPr>
        <w:t>☐ Customer onboarding and support material complete</w:t>
      </w:r>
    </w:p>
    <w:p>
      <w:pPr>
        <w:pStyle w:val="ListBullet"/>
      </w:pPr>
      <w:r>
        <w:rPr>
          <w:rFonts w:ascii="Aptos" w:hAnsi="Aptos"/>
          <w:b w:val="0"/>
          <w:i w:val="0"/>
          <w:color w:val="10221C"/>
          <w:sz w:val="22"/>
        </w:rPr>
        <w:t>☐ Launch metrics baseline captured</w:t>
      </w:r>
    </w:p>
    <w:p>
      <w:pPr>
        <w:pStyle w:val="Heading1"/>
      </w:pPr>
      <w:r>
        <w:t>16. Post-launch continuous development</w:t>
      </w:r>
    </w:p>
    <w:p>
      <w:pPr>
        <w:pStyle w:val="Heading2"/>
      </w:pPr>
      <w:r>
        <w:t>16.1 Operating cadence</w:t>
      </w:r>
    </w:p>
    <w:tbl>
      <w:tblPr>
        <w:tblW w:type="auto" w:w="0"/>
        <w:jc w:val="left"/>
        <w:tblLayout w:type="fixed"/>
        <w:tblLook w:firstColumn="1" w:firstRow="1" w:lastColumn="0" w:lastRow="0" w:noHBand="0" w:noVBand="1" w:val="04A0"/>
        <w:tblW w:w="9360" w:type="dxa"/>
        <w:tblInd w:w="120" w:type="dxa"/>
      </w:tblPr>
      <w:tblGrid>
        <w:gridCol w:w="1944"/>
        <w:gridCol w:w="7416"/>
      </w:tblGrid>
      <w:tr>
        <w:trPr>
          <w:tblHeader w:val="true"/>
        </w:trPr>
        <w:tc>
          <w:tcPr>
            <w:tcW w:type="dxa" w:w="1944"/>
            <w:vAlign w:val="center"/>
            <w:tcW w:w="1944" w:type="dxa"/>
            <w:tcMar>
              <w:top w:w="80" w:type="dxa"/>
              <w:start w:w="120" w:type="dxa"/>
              <w:bottom w:w="80" w:type="dxa"/>
              <w:end w:w="120" w:type="dxa"/>
            </w:tcMar>
            <w:shd w:fill="12392F"/>
          </w:tcPr>
          <w:p>
            <w:pPr>
              <w:spacing w:after="0" w:line="252" w:lineRule="auto"/>
            </w:pPr>
            <w:r>
              <w:rPr>
                <w:rFonts w:ascii="Aptos" w:hAnsi="Aptos"/>
                <w:b/>
                <w:i w:val="0"/>
                <w:color w:val="FFFFFF"/>
                <w:sz w:val="17"/>
              </w:rPr>
              <w:t>Cadence</w:t>
            </w:r>
          </w:p>
        </w:tc>
        <w:tc>
          <w:tcPr>
            <w:tcW w:type="dxa" w:w="7416"/>
            <w:vAlign w:val="center"/>
            <w:tcW w:w="7416" w:type="dxa"/>
            <w:tcMar>
              <w:top w:w="80" w:type="dxa"/>
              <w:start w:w="120" w:type="dxa"/>
              <w:bottom w:w="80" w:type="dxa"/>
              <w:end w:w="120" w:type="dxa"/>
            </w:tcMar>
            <w:shd w:fill="12392F"/>
          </w:tcPr>
          <w:p>
            <w:pPr>
              <w:spacing w:after="0" w:line="252" w:lineRule="auto"/>
            </w:pPr>
            <w:r>
              <w:rPr>
                <w:rFonts w:ascii="Aptos" w:hAnsi="Aptos"/>
                <w:b/>
                <w:i w:val="0"/>
                <w:color w:val="FFFFFF"/>
                <w:sz w:val="17"/>
              </w:rPr>
              <w:t>Activity</w:t>
            </w:r>
          </w:p>
        </w:tc>
      </w:tr>
      <w:tr>
        <w:tc>
          <w:tcPr>
            <w:tcW w:type="dxa" w:w="1944"/>
            <w:vAlign w:val="center"/>
            <w:tcW w:w="1944" w:type="dxa"/>
            <w:tcMar>
              <w:top w:w="80" w:type="dxa"/>
              <w:start w:w="120" w:type="dxa"/>
              <w:bottom w:w="80" w:type="dxa"/>
              <w:end w:w="120" w:type="dxa"/>
            </w:tcMar>
            <w:shd w:fill="FFFFFF"/>
          </w:tcPr>
          <w:p>
            <w:pPr>
              <w:spacing w:after="0" w:line="252" w:lineRule="auto"/>
            </w:pPr>
            <w:r>
              <w:rPr>
                <w:rFonts w:ascii="Aptos" w:hAnsi="Aptos"/>
                <w:b w:val="0"/>
                <w:i w:val="0"/>
                <w:color w:val="10221C"/>
                <w:sz w:val="17"/>
              </w:rPr>
              <w:t>Daily</w:t>
            </w:r>
          </w:p>
        </w:tc>
        <w:tc>
          <w:tcPr>
            <w:tcW w:type="dxa" w:w="7416"/>
            <w:vAlign w:val="center"/>
            <w:tcW w:w="7416" w:type="dxa"/>
            <w:tcMar>
              <w:top w:w="80" w:type="dxa"/>
              <w:start w:w="120" w:type="dxa"/>
              <w:bottom w:w="80" w:type="dxa"/>
              <w:end w:w="120" w:type="dxa"/>
            </w:tcMar>
            <w:shd w:fill="FFFFFF"/>
          </w:tcPr>
          <w:p>
            <w:pPr>
              <w:spacing w:after="0" w:line="252" w:lineRule="auto"/>
            </w:pPr>
            <w:r>
              <w:rPr>
                <w:rFonts w:ascii="Aptos" w:hAnsi="Aptos"/>
                <w:b w:val="0"/>
                <w:i w:val="0"/>
                <w:color w:val="10221C"/>
                <w:sz w:val="17"/>
              </w:rPr>
              <w:t>Service health, abuse signals, scan failures and security alerts.</w:t>
            </w:r>
          </w:p>
        </w:tc>
      </w:tr>
      <w:tr>
        <w:tc>
          <w:tcPr>
            <w:tcW w:type="dxa" w:w="1944"/>
            <w:vAlign w:val="center"/>
            <w:tcW w:w="1944" w:type="dxa"/>
            <w:tcMar>
              <w:top w:w="80" w:type="dxa"/>
              <w:start w:w="120" w:type="dxa"/>
              <w:bottom w:w="80" w:type="dxa"/>
              <w:end w:w="120" w:type="dxa"/>
            </w:tcMar>
            <w:shd w:fill="F3F5F1"/>
          </w:tcPr>
          <w:p>
            <w:pPr>
              <w:spacing w:after="0" w:line="252" w:lineRule="auto"/>
            </w:pPr>
            <w:r>
              <w:rPr>
                <w:rFonts w:ascii="Aptos" w:hAnsi="Aptos"/>
                <w:b w:val="0"/>
                <w:i w:val="0"/>
                <w:color w:val="10221C"/>
                <w:sz w:val="17"/>
              </w:rPr>
              <w:t>Weekly</w:t>
            </w:r>
          </w:p>
        </w:tc>
        <w:tc>
          <w:tcPr>
            <w:tcW w:type="dxa" w:w="7416"/>
            <w:vAlign w:val="center"/>
            <w:tcW w:w="7416" w:type="dxa"/>
            <w:tcMar>
              <w:top w:w="80" w:type="dxa"/>
              <w:start w:w="120" w:type="dxa"/>
              <w:bottom w:w="80" w:type="dxa"/>
              <w:end w:w="120" w:type="dxa"/>
            </w:tcMar>
            <w:shd w:fill="F3F5F1"/>
          </w:tcPr>
          <w:p>
            <w:pPr>
              <w:spacing w:after="0" w:line="252" w:lineRule="auto"/>
            </w:pPr>
            <w:r>
              <w:rPr>
                <w:rFonts w:ascii="Aptos" w:hAnsi="Aptos"/>
                <w:b w:val="0"/>
                <w:i w:val="0"/>
                <w:color w:val="10221C"/>
                <w:sz w:val="17"/>
              </w:rPr>
              <w:t>Rule-quality review, customer feedback triage and release train.</w:t>
            </w:r>
          </w:p>
        </w:tc>
      </w:tr>
      <w:tr>
        <w:tc>
          <w:tcPr>
            <w:tcW w:type="dxa" w:w="1944"/>
            <w:vAlign w:val="center"/>
            <w:tcW w:w="1944" w:type="dxa"/>
            <w:tcMar>
              <w:top w:w="80" w:type="dxa"/>
              <w:start w:w="120" w:type="dxa"/>
              <w:bottom w:w="80" w:type="dxa"/>
              <w:end w:w="120" w:type="dxa"/>
            </w:tcMar>
            <w:shd w:fill="FFFFFF"/>
          </w:tcPr>
          <w:p>
            <w:pPr>
              <w:spacing w:after="0" w:line="252" w:lineRule="auto"/>
            </w:pPr>
            <w:r>
              <w:rPr>
                <w:rFonts w:ascii="Aptos" w:hAnsi="Aptos"/>
                <w:b w:val="0"/>
                <w:i w:val="0"/>
                <w:color w:val="10221C"/>
                <w:sz w:val="17"/>
              </w:rPr>
              <w:t>Monthly</w:t>
            </w:r>
          </w:p>
        </w:tc>
        <w:tc>
          <w:tcPr>
            <w:tcW w:type="dxa" w:w="7416"/>
            <w:vAlign w:val="center"/>
            <w:tcW w:w="7416" w:type="dxa"/>
            <w:tcMar>
              <w:top w:w="80" w:type="dxa"/>
              <w:start w:w="120" w:type="dxa"/>
              <w:bottom w:w="80" w:type="dxa"/>
              <w:end w:w="120" w:type="dxa"/>
            </w:tcMar>
            <w:shd w:fill="FFFFFF"/>
          </w:tcPr>
          <w:p>
            <w:pPr>
              <w:spacing w:after="0" w:line="252" w:lineRule="auto"/>
            </w:pPr>
            <w:r>
              <w:rPr>
                <w:rFonts w:ascii="Aptos" w:hAnsi="Aptos"/>
                <w:b w:val="0"/>
                <w:i w:val="0"/>
                <w:color w:val="10221C"/>
                <w:sz w:val="17"/>
              </w:rPr>
              <w:t>Product metrics, cost, risk register and roadmap evidence review.</w:t>
            </w:r>
          </w:p>
        </w:tc>
      </w:tr>
      <w:tr>
        <w:tc>
          <w:tcPr>
            <w:tcW w:type="dxa" w:w="1944"/>
            <w:vAlign w:val="center"/>
            <w:tcW w:w="1944" w:type="dxa"/>
            <w:tcMar>
              <w:top w:w="80" w:type="dxa"/>
              <w:start w:w="120" w:type="dxa"/>
              <w:bottom w:w="80" w:type="dxa"/>
              <w:end w:w="120" w:type="dxa"/>
            </w:tcMar>
            <w:shd w:fill="F3F5F1"/>
          </w:tcPr>
          <w:p>
            <w:pPr>
              <w:spacing w:after="0" w:line="252" w:lineRule="auto"/>
            </w:pPr>
            <w:r>
              <w:rPr>
                <w:rFonts w:ascii="Aptos" w:hAnsi="Aptos"/>
                <w:b w:val="0"/>
                <w:i w:val="0"/>
                <w:color w:val="10221C"/>
                <w:sz w:val="17"/>
              </w:rPr>
              <w:t>Quarterly</w:t>
            </w:r>
          </w:p>
        </w:tc>
        <w:tc>
          <w:tcPr>
            <w:tcW w:type="dxa" w:w="7416"/>
            <w:vAlign w:val="center"/>
            <w:tcW w:w="7416" w:type="dxa"/>
            <w:tcMar>
              <w:top w:w="80" w:type="dxa"/>
              <w:start w:w="120" w:type="dxa"/>
              <w:bottom w:w="80" w:type="dxa"/>
              <w:end w:w="120" w:type="dxa"/>
            </w:tcMar>
            <w:shd w:fill="F3F5F1"/>
          </w:tcPr>
          <w:p>
            <w:pPr>
              <w:spacing w:after="0" w:line="252" w:lineRule="auto"/>
            </w:pPr>
            <w:r>
              <w:rPr>
                <w:rFonts w:ascii="Aptos" w:hAnsi="Aptos"/>
                <w:b w:val="0"/>
                <w:i w:val="0"/>
                <w:color w:val="10221C"/>
                <w:sz w:val="17"/>
              </w:rPr>
              <w:t>Threat model update, access review, restoration exercise and strategy review.</w:t>
            </w:r>
          </w:p>
        </w:tc>
      </w:tr>
      <w:tr>
        <w:tc>
          <w:tcPr>
            <w:tcW w:type="dxa" w:w="1944"/>
            <w:vAlign w:val="center"/>
            <w:tcW w:w="1944" w:type="dxa"/>
            <w:tcMar>
              <w:top w:w="80" w:type="dxa"/>
              <w:start w:w="120" w:type="dxa"/>
              <w:bottom w:w="80" w:type="dxa"/>
              <w:end w:w="120" w:type="dxa"/>
            </w:tcMar>
            <w:shd w:fill="FFFFFF"/>
          </w:tcPr>
          <w:p>
            <w:pPr>
              <w:spacing w:after="0" w:line="252" w:lineRule="auto"/>
            </w:pPr>
            <w:r>
              <w:rPr>
                <w:rFonts w:ascii="Aptos" w:hAnsi="Aptos"/>
                <w:b w:val="0"/>
                <w:i w:val="0"/>
                <w:color w:val="10221C"/>
                <w:sz w:val="17"/>
              </w:rPr>
              <w:t>Twice yearly</w:t>
            </w:r>
          </w:p>
        </w:tc>
        <w:tc>
          <w:tcPr>
            <w:tcW w:type="dxa" w:w="7416"/>
            <w:vAlign w:val="center"/>
            <w:tcW w:w="7416" w:type="dxa"/>
            <w:tcMar>
              <w:top w:w="80" w:type="dxa"/>
              <w:start w:w="120" w:type="dxa"/>
              <w:bottom w:w="80" w:type="dxa"/>
              <w:end w:w="120" w:type="dxa"/>
            </w:tcMar>
            <w:shd w:fill="FFFFFF"/>
          </w:tcPr>
          <w:p>
            <w:pPr>
              <w:spacing w:after="0" w:line="252" w:lineRule="auto"/>
            </w:pPr>
            <w:r>
              <w:rPr>
                <w:rFonts w:ascii="Aptos" w:hAnsi="Aptos"/>
                <w:b w:val="0"/>
                <w:i w:val="0"/>
                <w:color w:val="10221C"/>
                <w:sz w:val="17"/>
              </w:rPr>
              <w:t>Incident tabletop, independent security testing and policy review.</w:t>
            </w:r>
          </w:p>
        </w:tc>
      </w:tr>
      <w:tr>
        <w:tc>
          <w:tcPr>
            <w:tcW w:type="dxa" w:w="1944"/>
            <w:vAlign w:val="center"/>
            <w:tcW w:w="1944" w:type="dxa"/>
            <w:tcMar>
              <w:top w:w="80" w:type="dxa"/>
              <w:start w:w="120" w:type="dxa"/>
              <w:bottom w:w="80" w:type="dxa"/>
              <w:end w:w="120" w:type="dxa"/>
            </w:tcMar>
            <w:shd w:fill="F3F5F1"/>
          </w:tcPr>
          <w:p>
            <w:pPr>
              <w:spacing w:after="0" w:line="252" w:lineRule="auto"/>
            </w:pPr>
            <w:r>
              <w:rPr>
                <w:rFonts w:ascii="Aptos" w:hAnsi="Aptos"/>
                <w:b w:val="0"/>
                <w:i w:val="0"/>
                <w:color w:val="10221C"/>
                <w:sz w:val="17"/>
              </w:rPr>
              <w:t>Annually</w:t>
            </w:r>
          </w:p>
        </w:tc>
        <w:tc>
          <w:tcPr>
            <w:tcW w:type="dxa" w:w="7416"/>
            <w:vAlign w:val="center"/>
            <w:tcW w:w="7416" w:type="dxa"/>
            <w:tcMar>
              <w:top w:w="80" w:type="dxa"/>
              <w:start w:w="120" w:type="dxa"/>
              <w:bottom w:w="80" w:type="dxa"/>
              <w:end w:w="120" w:type="dxa"/>
            </w:tcMar>
            <w:shd w:fill="F3F5F1"/>
          </w:tcPr>
          <w:p>
            <w:pPr>
              <w:spacing w:after="0" w:line="252" w:lineRule="auto"/>
            </w:pPr>
            <w:r>
              <w:rPr>
                <w:rFonts w:ascii="Aptos" w:hAnsi="Aptos"/>
                <w:b w:val="0"/>
                <w:i w:val="0"/>
                <w:color w:val="10221C"/>
                <w:sz w:val="17"/>
              </w:rPr>
              <w:t>Business continuity exercise, pricing review and regional expansion decision.</w:t>
            </w:r>
          </w:p>
        </w:tc>
      </w:tr>
    </w:tbl>
    <w:p>
      <w:pPr>
        <w:spacing w:after="40"/>
      </w:pPr>
    </w:p>
    <w:p>
      <w:pPr>
        <w:pStyle w:val="Heading2"/>
      </w:pPr>
      <w:r>
        <w:t>16.2 Candidate evolution themes</w:t>
      </w:r>
    </w:p>
    <w:p>
      <w:pPr>
        <w:pStyle w:val="ListBullet"/>
      </w:pPr>
      <w:r>
        <w:rPr>
          <w:rFonts w:ascii="Aptos" w:hAnsi="Aptos"/>
          <w:b w:val="0"/>
          <w:i w:val="0"/>
          <w:color w:val="10221C"/>
          <w:sz w:val="22"/>
        </w:rPr>
        <w:t>Passive subdomain and certificate-transparency discovery with authorization workflow.</w:t>
      </w:r>
    </w:p>
    <w:p>
      <w:pPr>
        <w:pStyle w:val="ListBullet"/>
      </w:pPr>
      <w:r>
        <w:rPr>
          <w:rFonts w:ascii="Aptos" w:hAnsi="Aptos"/>
          <w:b w:val="0"/>
          <w:i w:val="0"/>
          <w:color w:val="10221C"/>
          <w:sz w:val="22"/>
        </w:rPr>
        <w:t>Controlled external service exposure inventory and safe configuration checks.</w:t>
      </w:r>
    </w:p>
    <w:p>
      <w:pPr>
        <w:pStyle w:val="ListBullet"/>
      </w:pPr>
      <w:r>
        <w:rPr>
          <w:rFonts w:ascii="Aptos" w:hAnsi="Aptos"/>
          <w:b w:val="0"/>
          <w:i w:val="0"/>
          <w:color w:val="10221C"/>
          <w:sz w:val="22"/>
        </w:rPr>
        <w:t>Brand/domain impersonation monitoring and guided takedown evidence packs.</w:t>
      </w:r>
    </w:p>
    <w:p>
      <w:pPr>
        <w:pStyle w:val="ListBullet"/>
      </w:pPr>
      <w:r>
        <w:rPr>
          <w:rFonts w:ascii="Aptos" w:hAnsi="Aptos"/>
          <w:b w:val="0"/>
          <w:i w:val="0"/>
          <w:color w:val="10221C"/>
          <w:sz w:val="22"/>
        </w:rPr>
        <w:t>Client-side dependency and change monitoring for payment/e-commerce pages.</w:t>
      </w:r>
    </w:p>
    <w:p>
      <w:pPr>
        <w:pStyle w:val="ListBullet"/>
      </w:pPr>
      <w:r>
        <w:rPr>
          <w:rFonts w:ascii="Aptos" w:hAnsi="Aptos"/>
          <w:b w:val="0"/>
          <w:i w:val="0"/>
          <w:color w:val="10221C"/>
          <w:sz w:val="22"/>
        </w:rPr>
        <w:t>GitHub, Jira, Linear, Slack, email and approved WhatsApp provider integrations.</w:t>
      </w:r>
    </w:p>
    <w:p>
      <w:pPr>
        <w:pStyle w:val="ListBullet"/>
      </w:pPr>
      <w:r>
        <w:rPr>
          <w:rFonts w:ascii="Aptos" w:hAnsi="Aptos"/>
          <w:b w:val="0"/>
          <w:i w:val="0"/>
          <w:color w:val="10221C"/>
          <w:sz w:val="22"/>
        </w:rPr>
        <w:t>Partner API and webhook ecosystem.</w:t>
      </w:r>
    </w:p>
    <w:p>
      <w:pPr>
        <w:pStyle w:val="ListBullet"/>
      </w:pPr>
      <w:r>
        <w:rPr>
          <w:rFonts w:ascii="Aptos" w:hAnsi="Aptos"/>
          <w:b w:val="0"/>
          <w:i w:val="0"/>
          <w:color w:val="10221C"/>
          <w:sz w:val="22"/>
        </w:rPr>
        <w:t>Regional languages and payment options based on measured demand.</w:t>
      </w:r>
    </w:p>
    <w:p>
      <w:pPr>
        <w:pStyle w:val="ListBullet"/>
      </w:pPr>
      <w:r>
        <w:rPr>
          <w:rFonts w:ascii="Aptos" w:hAnsi="Aptos"/>
          <w:b w:val="0"/>
          <w:i w:val="0"/>
          <w:color w:val="10221C"/>
          <w:sz w:val="22"/>
        </w:rPr>
        <w:t>Security posture benchmarking using anonymized, consented aggregates.</w:t>
      </w:r>
    </w:p>
    <w:p>
      <w:pPr>
        <w:pStyle w:val="ListBullet"/>
      </w:pPr>
      <w:r>
        <w:rPr>
          <w:rFonts w:ascii="Aptos" w:hAnsi="Aptos"/>
          <w:b w:val="0"/>
          <w:i w:val="0"/>
          <w:color w:val="10221C"/>
          <w:sz w:val="22"/>
        </w:rPr>
        <w:t>AI-assisted explanation and remediation only with evidence grounding, review and deterministic guardrails.</w:t>
      </w:r>
    </w:p>
    <w:p>
      <w:pPr>
        <w:pStyle w:val="Heading2"/>
      </w:pPr>
      <w:r>
        <w:t>16.3 Innovation filter</w:t>
      </w:r>
    </w:p>
    <w:p>
      <w:r>
        <w:rPr>
          <w:rFonts w:ascii="Aptos" w:hAnsi="Aptos"/>
          <w:b w:val="0"/>
          <w:i w:val="0"/>
          <w:color w:val="10221C"/>
          <w:sz w:val="22"/>
        </w:rPr>
        <w:t>A proposed capability enters the roadmap only if it has a target user, verified problem, safety analysis, authorization model, measurable outcome, operational owner and sustainable cost. Novelty alone is insufficient.</w:t>
      </w:r>
    </w:p>
    <w:p>
      <w:pPr>
        <w:pStyle w:val="Heading1"/>
      </w:pPr>
      <w:r>
        <w:t>17. Reference standards and glossary</w:t>
      </w:r>
    </w:p>
    <w:p>
      <w:pPr>
        <w:pStyle w:val="Heading2"/>
      </w:pPr>
      <w:r>
        <w:t>17.1 Standards baseline</w:t>
      </w:r>
    </w:p>
    <w:tbl>
      <w:tblPr>
        <w:tblW w:type="auto" w:w="0"/>
        <w:jc w:val="left"/>
        <w:tblLayout w:type="fixed"/>
        <w:tblLook w:firstColumn="1" w:firstRow="1" w:lastColumn="0" w:lastRow="0" w:noHBand="0" w:noVBand="1" w:val="04A0"/>
        <w:tblW w:w="9360" w:type="dxa"/>
        <w:tblInd w:w="120" w:type="dxa"/>
      </w:tblPr>
      <w:tblGrid>
        <w:gridCol w:w="2880"/>
        <w:gridCol w:w="6480"/>
      </w:tblGrid>
      <w:tr>
        <w:trPr>
          <w:tblHeader w:val="true"/>
        </w:trPr>
        <w:tc>
          <w:tcPr>
            <w:tcW w:type="dxa" w:w="2880"/>
            <w:vAlign w:val="center"/>
            <w:tcW w:w="2880" w:type="dxa"/>
            <w:tcMar>
              <w:top w:w="80" w:type="dxa"/>
              <w:start w:w="120" w:type="dxa"/>
              <w:bottom w:w="80" w:type="dxa"/>
              <w:end w:w="120" w:type="dxa"/>
            </w:tcMar>
            <w:shd w:fill="12392F"/>
          </w:tcPr>
          <w:p>
            <w:pPr>
              <w:spacing w:after="0" w:line="252" w:lineRule="auto"/>
            </w:pPr>
            <w:r>
              <w:rPr>
                <w:rFonts w:ascii="Aptos" w:hAnsi="Aptos"/>
                <w:b/>
                <w:i w:val="0"/>
                <w:color w:val="FFFFFF"/>
                <w:sz w:val="17"/>
              </w:rPr>
              <w:t>Reference</w:t>
            </w:r>
          </w:p>
        </w:tc>
        <w:tc>
          <w:tcPr>
            <w:tcW w:type="dxa" w:w="6480"/>
            <w:vAlign w:val="center"/>
            <w:tcW w:w="6480" w:type="dxa"/>
            <w:tcMar>
              <w:top w:w="80" w:type="dxa"/>
              <w:start w:w="120" w:type="dxa"/>
              <w:bottom w:w="80" w:type="dxa"/>
              <w:end w:w="120" w:type="dxa"/>
            </w:tcMar>
            <w:shd w:fill="12392F"/>
          </w:tcPr>
          <w:p>
            <w:pPr>
              <w:spacing w:after="0" w:line="252" w:lineRule="auto"/>
            </w:pPr>
            <w:r>
              <w:rPr>
                <w:rFonts w:ascii="Aptos" w:hAnsi="Aptos"/>
                <w:b/>
                <w:i w:val="0"/>
                <w:color w:val="FFFFFF"/>
                <w:sz w:val="17"/>
              </w:rPr>
              <w:t>How KingaWeb uses it</w:t>
            </w:r>
          </w:p>
        </w:tc>
      </w:tr>
      <w:tr>
        <w:tc>
          <w:tcPr>
            <w:tcW w:type="dxa" w:w="2880"/>
            <w:vAlign w:val="center"/>
            <w:tcW w:w="2880" w:type="dxa"/>
            <w:tcMar>
              <w:top w:w="80" w:type="dxa"/>
              <w:start w:w="120" w:type="dxa"/>
              <w:bottom w:w="80" w:type="dxa"/>
              <w:end w:w="120" w:type="dxa"/>
            </w:tcMar>
            <w:shd w:fill="FFFFFF"/>
          </w:tcPr>
          <w:p>
            <w:pPr>
              <w:spacing w:after="0" w:line="252" w:lineRule="auto"/>
            </w:pPr>
            <w:r>
              <w:rPr>
                <w:rFonts w:ascii="Aptos" w:hAnsi="Aptos"/>
                <w:b w:val="0"/>
                <w:i w:val="0"/>
                <w:color w:val="10221C"/>
                <w:sz w:val="17"/>
              </w:rPr>
              <w:t>NIST CSF 2.0</w:t>
            </w:r>
          </w:p>
        </w:tc>
        <w:tc>
          <w:tcPr>
            <w:tcW w:type="dxa" w:w="6480"/>
            <w:vAlign w:val="center"/>
            <w:tcW w:w="6480" w:type="dxa"/>
            <w:tcMar>
              <w:top w:w="80" w:type="dxa"/>
              <w:start w:w="120" w:type="dxa"/>
              <w:bottom w:w="80" w:type="dxa"/>
              <w:end w:w="120" w:type="dxa"/>
            </w:tcMar>
            <w:shd w:fill="FFFFFF"/>
          </w:tcPr>
          <w:p>
            <w:pPr>
              <w:spacing w:after="0" w:line="252" w:lineRule="auto"/>
            </w:pPr>
            <w:r>
              <w:rPr>
                <w:rFonts w:ascii="Aptos" w:hAnsi="Aptos"/>
                <w:b w:val="0"/>
                <w:i w:val="0"/>
                <w:color w:val="10221C"/>
                <w:sz w:val="17"/>
              </w:rPr>
              <w:t>Customer risk lifecycle and organizational governance vocabulary.</w:t>
            </w:r>
          </w:p>
        </w:tc>
      </w:tr>
      <w:tr>
        <w:tc>
          <w:tcPr>
            <w:tcW w:type="dxa" w:w="2880"/>
            <w:vAlign w:val="center"/>
            <w:tcW w:w="2880" w:type="dxa"/>
            <w:tcMar>
              <w:top w:w="80" w:type="dxa"/>
              <w:start w:w="120" w:type="dxa"/>
              <w:bottom w:w="80" w:type="dxa"/>
              <w:end w:w="120" w:type="dxa"/>
            </w:tcMar>
            <w:shd w:fill="F3F5F1"/>
          </w:tcPr>
          <w:p>
            <w:pPr>
              <w:spacing w:after="0" w:line="252" w:lineRule="auto"/>
            </w:pPr>
            <w:r>
              <w:rPr>
                <w:rFonts w:ascii="Aptos" w:hAnsi="Aptos"/>
                <w:b w:val="0"/>
                <w:i w:val="0"/>
                <w:color w:val="10221C"/>
                <w:sz w:val="17"/>
              </w:rPr>
              <w:t>OWASP ASVS</w:t>
            </w:r>
          </w:p>
        </w:tc>
        <w:tc>
          <w:tcPr>
            <w:tcW w:type="dxa" w:w="6480"/>
            <w:vAlign w:val="center"/>
            <w:tcW w:w="6480" w:type="dxa"/>
            <w:tcMar>
              <w:top w:w="80" w:type="dxa"/>
              <w:start w:w="120" w:type="dxa"/>
              <w:bottom w:w="80" w:type="dxa"/>
              <w:end w:w="120" w:type="dxa"/>
            </w:tcMar>
            <w:shd w:fill="F3F5F1"/>
          </w:tcPr>
          <w:p>
            <w:pPr>
              <w:spacing w:after="0" w:line="252" w:lineRule="auto"/>
            </w:pPr>
            <w:r>
              <w:rPr>
                <w:rFonts w:ascii="Aptos" w:hAnsi="Aptos"/>
                <w:b w:val="0"/>
                <w:i w:val="0"/>
                <w:color w:val="10221C"/>
                <w:sz w:val="17"/>
              </w:rPr>
              <w:t>Application-security requirements and release verification baseline.</w:t>
            </w:r>
          </w:p>
        </w:tc>
      </w:tr>
      <w:tr>
        <w:tc>
          <w:tcPr>
            <w:tcW w:type="dxa" w:w="2880"/>
            <w:vAlign w:val="center"/>
            <w:tcW w:w="2880" w:type="dxa"/>
            <w:tcMar>
              <w:top w:w="80" w:type="dxa"/>
              <w:start w:w="120" w:type="dxa"/>
              <w:bottom w:w="80" w:type="dxa"/>
              <w:end w:w="120" w:type="dxa"/>
            </w:tcMar>
            <w:shd w:fill="FFFFFF"/>
          </w:tcPr>
          <w:p>
            <w:pPr>
              <w:spacing w:after="0" w:line="252" w:lineRule="auto"/>
            </w:pPr>
            <w:r>
              <w:rPr>
                <w:rFonts w:ascii="Aptos" w:hAnsi="Aptos"/>
                <w:b w:val="0"/>
                <w:i w:val="0"/>
                <w:color w:val="10221C"/>
                <w:sz w:val="17"/>
              </w:rPr>
              <w:t>OWASP WSTG</w:t>
            </w:r>
          </w:p>
        </w:tc>
        <w:tc>
          <w:tcPr>
            <w:tcW w:type="dxa" w:w="6480"/>
            <w:vAlign w:val="center"/>
            <w:tcW w:w="6480" w:type="dxa"/>
            <w:tcMar>
              <w:top w:w="80" w:type="dxa"/>
              <w:start w:w="120" w:type="dxa"/>
              <w:bottom w:w="80" w:type="dxa"/>
              <w:end w:w="120" w:type="dxa"/>
            </w:tcMar>
            <w:shd w:fill="FFFFFF"/>
          </w:tcPr>
          <w:p>
            <w:pPr>
              <w:spacing w:after="0" w:line="252" w:lineRule="auto"/>
            </w:pPr>
            <w:r>
              <w:rPr>
                <w:rFonts w:ascii="Aptos" w:hAnsi="Aptos"/>
                <w:b w:val="0"/>
                <w:i w:val="0"/>
                <w:color w:val="10221C"/>
                <w:sz w:val="17"/>
              </w:rPr>
              <w:t>Relevant web-testing methodology and evidence design.</w:t>
            </w:r>
          </w:p>
        </w:tc>
      </w:tr>
      <w:tr>
        <w:tc>
          <w:tcPr>
            <w:tcW w:type="dxa" w:w="2880"/>
            <w:vAlign w:val="center"/>
            <w:tcW w:w="2880" w:type="dxa"/>
            <w:tcMar>
              <w:top w:w="80" w:type="dxa"/>
              <w:start w:w="120" w:type="dxa"/>
              <w:bottom w:w="80" w:type="dxa"/>
              <w:end w:w="120" w:type="dxa"/>
            </w:tcMar>
            <w:shd w:fill="F3F5F1"/>
          </w:tcPr>
          <w:p>
            <w:pPr>
              <w:spacing w:after="0" w:line="252" w:lineRule="auto"/>
            </w:pPr>
            <w:r>
              <w:rPr>
                <w:rFonts w:ascii="Aptos" w:hAnsi="Aptos"/>
                <w:b w:val="0"/>
                <w:i w:val="0"/>
                <w:color w:val="10221C"/>
                <w:sz w:val="17"/>
              </w:rPr>
              <w:t>OWASP Attack Surface Analysis</w:t>
            </w:r>
          </w:p>
        </w:tc>
        <w:tc>
          <w:tcPr>
            <w:tcW w:type="dxa" w:w="6480"/>
            <w:vAlign w:val="center"/>
            <w:tcW w:w="6480" w:type="dxa"/>
            <w:tcMar>
              <w:top w:w="80" w:type="dxa"/>
              <w:start w:w="120" w:type="dxa"/>
              <w:bottom w:w="80" w:type="dxa"/>
              <w:end w:w="120" w:type="dxa"/>
            </w:tcMar>
            <w:shd w:fill="F3F5F1"/>
          </w:tcPr>
          <w:p>
            <w:pPr>
              <w:spacing w:after="0" w:line="252" w:lineRule="auto"/>
            </w:pPr>
            <w:r>
              <w:rPr>
                <w:rFonts w:ascii="Aptos" w:hAnsi="Aptos"/>
                <w:b w:val="0"/>
                <w:i w:val="0"/>
                <w:color w:val="10221C"/>
                <w:sz w:val="17"/>
              </w:rPr>
              <w:t>Asset and exposure concepts.</w:t>
            </w:r>
          </w:p>
        </w:tc>
      </w:tr>
      <w:tr>
        <w:tc>
          <w:tcPr>
            <w:tcW w:type="dxa" w:w="2880"/>
            <w:vAlign w:val="center"/>
            <w:tcW w:w="2880" w:type="dxa"/>
            <w:tcMar>
              <w:top w:w="80" w:type="dxa"/>
              <w:start w:w="120" w:type="dxa"/>
              <w:bottom w:w="80" w:type="dxa"/>
              <w:end w:w="120" w:type="dxa"/>
            </w:tcMar>
            <w:shd w:fill="FFFFFF"/>
          </w:tcPr>
          <w:p>
            <w:pPr>
              <w:spacing w:after="0" w:line="252" w:lineRule="auto"/>
            </w:pPr>
            <w:r>
              <w:rPr>
                <w:rFonts w:ascii="Aptos" w:hAnsi="Aptos"/>
                <w:b w:val="0"/>
                <w:i w:val="0"/>
                <w:color w:val="10221C"/>
                <w:sz w:val="17"/>
              </w:rPr>
              <w:t>CISA Secure by Design</w:t>
            </w:r>
          </w:p>
        </w:tc>
        <w:tc>
          <w:tcPr>
            <w:tcW w:type="dxa" w:w="6480"/>
            <w:vAlign w:val="center"/>
            <w:tcW w:w="6480" w:type="dxa"/>
            <w:tcMar>
              <w:top w:w="80" w:type="dxa"/>
              <w:start w:w="120" w:type="dxa"/>
              <w:bottom w:w="80" w:type="dxa"/>
              <w:end w:w="120" w:type="dxa"/>
            </w:tcMar>
            <w:shd w:fill="FFFFFF"/>
          </w:tcPr>
          <w:p>
            <w:pPr>
              <w:spacing w:after="0" w:line="252" w:lineRule="auto"/>
            </w:pPr>
            <w:r>
              <w:rPr>
                <w:rFonts w:ascii="Aptos" w:hAnsi="Aptos"/>
                <w:b w:val="0"/>
                <w:i w:val="0"/>
                <w:color w:val="10221C"/>
                <w:sz w:val="17"/>
              </w:rPr>
              <w:t>Ownership of customer outcomes, safe defaults and transparency.</w:t>
            </w:r>
          </w:p>
        </w:tc>
      </w:tr>
      <w:tr>
        <w:tc>
          <w:tcPr>
            <w:tcW w:type="dxa" w:w="2880"/>
            <w:vAlign w:val="center"/>
            <w:tcW w:w="2880" w:type="dxa"/>
            <w:tcMar>
              <w:top w:w="80" w:type="dxa"/>
              <w:start w:w="120" w:type="dxa"/>
              <w:bottom w:w="80" w:type="dxa"/>
              <w:end w:w="120" w:type="dxa"/>
            </w:tcMar>
            <w:shd w:fill="F3F5F1"/>
          </w:tcPr>
          <w:p>
            <w:pPr>
              <w:spacing w:after="0" w:line="252" w:lineRule="auto"/>
            </w:pPr>
            <w:r>
              <w:rPr>
                <w:rFonts w:ascii="Aptos" w:hAnsi="Aptos"/>
                <w:b w:val="0"/>
                <w:i w:val="0"/>
                <w:color w:val="10221C"/>
                <w:sz w:val="17"/>
              </w:rPr>
              <w:t>OWASP Top 10 / API Top 10</w:t>
            </w:r>
          </w:p>
        </w:tc>
        <w:tc>
          <w:tcPr>
            <w:tcW w:type="dxa" w:w="6480"/>
            <w:vAlign w:val="center"/>
            <w:tcW w:w="6480" w:type="dxa"/>
            <w:tcMar>
              <w:top w:w="80" w:type="dxa"/>
              <w:start w:w="120" w:type="dxa"/>
              <w:bottom w:w="80" w:type="dxa"/>
              <w:end w:w="120" w:type="dxa"/>
            </w:tcMar>
            <w:shd w:fill="F3F5F1"/>
          </w:tcPr>
          <w:p>
            <w:pPr>
              <w:spacing w:after="0" w:line="252" w:lineRule="auto"/>
            </w:pPr>
            <w:r>
              <w:rPr>
                <w:rFonts w:ascii="Aptos" w:hAnsi="Aptos"/>
                <w:b w:val="0"/>
                <w:i w:val="0"/>
                <w:color w:val="10221C"/>
                <w:sz w:val="17"/>
              </w:rPr>
              <w:t>Threat awareness and engineering education—not a complete checklist.</w:t>
            </w:r>
          </w:p>
        </w:tc>
      </w:tr>
      <w:tr>
        <w:tc>
          <w:tcPr>
            <w:tcW w:type="dxa" w:w="2880"/>
            <w:vAlign w:val="center"/>
            <w:tcW w:w="2880" w:type="dxa"/>
            <w:tcMar>
              <w:top w:w="80" w:type="dxa"/>
              <w:start w:w="120" w:type="dxa"/>
              <w:bottom w:w="80" w:type="dxa"/>
              <w:end w:w="120" w:type="dxa"/>
            </w:tcMar>
            <w:shd w:fill="FFFFFF"/>
          </w:tcPr>
          <w:p>
            <w:pPr>
              <w:spacing w:after="0" w:line="252" w:lineRule="auto"/>
            </w:pPr>
            <w:r>
              <w:rPr>
                <w:rFonts w:ascii="Aptos" w:hAnsi="Aptos"/>
                <w:b w:val="0"/>
                <w:i w:val="0"/>
                <w:color w:val="10221C"/>
                <w:sz w:val="17"/>
              </w:rPr>
              <w:t>NIST AI RMF / GenAI Profile</w:t>
            </w:r>
          </w:p>
        </w:tc>
        <w:tc>
          <w:tcPr>
            <w:tcW w:type="dxa" w:w="6480"/>
            <w:vAlign w:val="center"/>
            <w:tcW w:w="6480" w:type="dxa"/>
            <w:tcMar>
              <w:top w:w="80" w:type="dxa"/>
              <w:start w:w="120" w:type="dxa"/>
              <w:bottom w:w="80" w:type="dxa"/>
              <w:end w:w="120" w:type="dxa"/>
            </w:tcMar>
            <w:shd w:fill="FFFFFF"/>
          </w:tcPr>
          <w:p>
            <w:pPr>
              <w:spacing w:after="0" w:line="252" w:lineRule="auto"/>
            </w:pPr>
            <w:r>
              <w:rPr>
                <w:rFonts w:ascii="Aptos" w:hAnsi="Aptos"/>
                <w:b w:val="0"/>
                <w:i w:val="0"/>
                <w:color w:val="10221C"/>
                <w:sz w:val="17"/>
              </w:rPr>
              <w:t>Governance, mapping, measurement and management of AI risk.</w:t>
            </w:r>
          </w:p>
        </w:tc>
      </w:tr>
      <w:tr>
        <w:tc>
          <w:tcPr>
            <w:tcW w:type="dxa" w:w="2880"/>
            <w:vAlign w:val="center"/>
            <w:tcW w:w="2880" w:type="dxa"/>
            <w:tcMar>
              <w:top w:w="80" w:type="dxa"/>
              <w:start w:w="120" w:type="dxa"/>
              <w:bottom w:w="80" w:type="dxa"/>
              <w:end w:w="120" w:type="dxa"/>
            </w:tcMar>
            <w:shd w:fill="F3F5F1"/>
          </w:tcPr>
          <w:p>
            <w:pPr>
              <w:spacing w:after="0" w:line="252" w:lineRule="auto"/>
            </w:pPr>
            <w:r>
              <w:rPr>
                <w:rFonts w:ascii="Aptos" w:hAnsi="Aptos"/>
                <w:b w:val="0"/>
                <w:i w:val="0"/>
                <w:color w:val="10221C"/>
                <w:sz w:val="17"/>
              </w:rPr>
              <w:t>OWASP GenAI Security</w:t>
            </w:r>
          </w:p>
        </w:tc>
        <w:tc>
          <w:tcPr>
            <w:tcW w:type="dxa" w:w="6480"/>
            <w:vAlign w:val="center"/>
            <w:tcW w:w="6480" w:type="dxa"/>
            <w:tcMar>
              <w:top w:w="80" w:type="dxa"/>
              <w:start w:w="120" w:type="dxa"/>
              <w:bottom w:w="80" w:type="dxa"/>
              <w:end w:w="120" w:type="dxa"/>
            </w:tcMar>
            <w:shd w:fill="F3F5F1"/>
          </w:tcPr>
          <w:p>
            <w:pPr>
              <w:spacing w:after="0" w:line="252" w:lineRule="auto"/>
            </w:pPr>
            <w:r>
              <w:rPr>
                <w:rFonts w:ascii="Aptos" w:hAnsi="Aptos"/>
                <w:b w:val="0"/>
                <w:i w:val="0"/>
                <w:color w:val="10221C"/>
                <w:sz w:val="17"/>
              </w:rPr>
              <w:t>Prompt injection, data disclosure, output handling and agency controls.</w:t>
            </w:r>
          </w:p>
        </w:tc>
      </w:tr>
      <w:tr>
        <w:tc>
          <w:tcPr>
            <w:tcW w:type="dxa" w:w="2880"/>
            <w:vAlign w:val="center"/>
            <w:tcW w:w="2880" w:type="dxa"/>
            <w:tcMar>
              <w:top w:w="80" w:type="dxa"/>
              <w:start w:w="120" w:type="dxa"/>
              <w:bottom w:w="80" w:type="dxa"/>
              <w:end w:w="120" w:type="dxa"/>
            </w:tcMar>
            <w:shd w:fill="FFFFFF"/>
          </w:tcPr>
          <w:p>
            <w:pPr>
              <w:spacing w:after="0" w:line="252" w:lineRule="auto"/>
            </w:pPr>
            <w:r>
              <w:rPr>
                <w:rFonts w:ascii="Aptos" w:hAnsi="Aptos"/>
                <w:b w:val="0"/>
                <w:i w:val="0"/>
                <w:color w:val="10221C"/>
                <w:sz w:val="17"/>
              </w:rPr>
              <w:t>WCAG 2.2 AA</w:t>
            </w:r>
          </w:p>
        </w:tc>
        <w:tc>
          <w:tcPr>
            <w:tcW w:type="dxa" w:w="6480"/>
            <w:vAlign w:val="center"/>
            <w:tcW w:w="6480" w:type="dxa"/>
            <w:tcMar>
              <w:top w:w="80" w:type="dxa"/>
              <w:start w:w="120" w:type="dxa"/>
              <w:bottom w:w="80" w:type="dxa"/>
              <w:end w:w="120" w:type="dxa"/>
            </w:tcMar>
            <w:shd w:fill="FFFFFF"/>
          </w:tcPr>
          <w:p>
            <w:pPr>
              <w:spacing w:after="0" w:line="252" w:lineRule="auto"/>
            </w:pPr>
            <w:r>
              <w:rPr>
                <w:rFonts w:ascii="Aptos" w:hAnsi="Aptos"/>
                <w:b w:val="0"/>
                <w:i w:val="0"/>
                <w:color w:val="10221C"/>
                <w:sz w:val="17"/>
              </w:rPr>
              <w:t>Accessibility target for customer-facing experiences.</w:t>
            </w:r>
          </w:p>
        </w:tc>
      </w:tr>
      <w:tr>
        <w:tc>
          <w:tcPr>
            <w:tcW w:type="dxa" w:w="2880"/>
            <w:vAlign w:val="center"/>
            <w:tcW w:w="2880" w:type="dxa"/>
            <w:tcMar>
              <w:top w:w="80" w:type="dxa"/>
              <w:start w:w="120" w:type="dxa"/>
              <w:bottom w:w="80" w:type="dxa"/>
              <w:end w:w="120" w:type="dxa"/>
            </w:tcMar>
            <w:shd w:fill="F3F5F1"/>
          </w:tcPr>
          <w:p>
            <w:pPr>
              <w:spacing w:after="0" w:line="252" w:lineRule="auto"/>
            </w:pPr>
            <w:r>
              <w:rPr>
                <w:rFonts w:ascii="Aptos" w:hAnsi="Aptos"/>
                <w:b w:val="0"/>
                <w:i w:val="0"/>
                <w:color w:val="10221C"/>
                <w:sz w:val="17"/>
              </w:rPr>
              <w:t>OpenTelemetry</w:t>
            </w:r>
          </w:p>
        </w:tc>
        <w:tc>
          <w:tcPr>
            <w:tcW w:type="dxa" w:w="6480"/>
            <w:vAlign w:val="center"/>
            <w:tcW w:w="6480" w:type="dxa"/>
            <w:tcMar>
              <w:top w:w="80" w:type="dxa"/>
              <w:start w:w="120" w:type="dxa"/>
              <w:bottom w:w="80" w:type="dxa"/>
              <w:end w:w="120" w:type="dxa"/>
            </w:tcMar>
            <w:shd w:fill="F3F5F1"/>
          </w:tcPr>
          <w:p>
            <w:pPr>
              <w:spacing w:after="0" w:line="252" w:lineRule="auto"/>
            </w:pPr>
            <w:r>
              <w:rPr>
                <w:rFonts w:ascii="Aptos" w:hAnsi="Aptos"/>
                <w:b w:val="0"/>
                <w:i w:val="0"/>
                <w:color w:val="10221C"/>
                <w:sz w:val="17"/>
              </w:rPr>
              <w:t>Vendor-neutral observability conventions.</w:t>
            </w:r>
          </w:p>
        </w:tc>
      </w:tr>
      <w:tr>
        <w:tc>
          <w:tcPr>
            <w:tcW w:type="dxa" w:w="2880"/>
            <w:vAlign w:val="center"/>
            <w:tcW w:w="2880" w:type="dxa"/>
            <w:tcMar>
              <w:top w:w="80" w:type="dxa"/>
              <w:start w:w="120" w:type="dxa"/>
              <w:bottom w:w="80" w:type="dxa"/>
              <w:end w:w="120" w:type="dxa"/>
            </w:tcMar>
            <w:shd w:fill="FFFFFF"/>
          </w:tcPr>
          <w:p>
            <w:pPr>
              <w:spacing w:after="0" w:line="252" w:lineRule="auto"/>
            </w:pPr>
            <w:r>
              <w:rPr>
                <w:rFonts w:ascii="Aptos" w:hAnsi="Aptos"/>
                <w:b w:val="0"/>
                <w:i w:val="0"/>
                <w:color w:val="10221C"/>
                <w:sz w:val="17"/>
              </w:rPr>
              <w:t>Tanzania legal requirements</w:t>
            </w:r>
          </w:p>
        </w:tc>
        <w:tc>
          <w:tcPr>
            <w:tcW w:type="dxa" w:w="6480"/>
            <w:vAlign w:val="center"/>
            <w:tcW w:w="6480" w:type="dxa"/>
            <w:tcMar>
              <w:top w:w="80" w:type="dxa"/>
              <w:start w:w="120" w:type="dxa"/>
              <w:bottom w:w="80" w:type="dxa"/>
              <w:end w:w="120" w:type="dxa"/>
            </w:tcMar>
            <w:shd w:fill="FFFFFF"/>
          </w:tcPr>
          <w:p>
            <w:pPr>
              <w:spacing w:after="0" w:line="252" w:lineRule="auto"/>
            </w:pPr>
            <w:r>
              <w:rPr>
                <w:rFonts w:ascii="Aptos" w:hAnsi="Aptos"/>
                <w:b w:val="0"/>
                <w:i w:val="0"/>
                <w:color w:val="10221C"/>
                <w:sz w:val="17"/>
              </w:rPr>
              <w:t>To be mapped with qualified local counsel before public launch.</w:t>
            </w:r>
          </w:p>
        </w:tc>
      </w:tr>
    </w:tbl>
    <w:p>
      <w:pPr>
        <w:spacing w:after="40"/>
      </w:pPr>
    </w:p>
    <w:p>
      <w:pPr>
        <w:pStyle w:val="Heading2"/>
      </w:pPr>
      <w:r>
        <w:t>17.2 Glossary</w:t>
      </w:r>
    </w:p>
    <w:p>
      <w:r>
        <w:rPr>
          <w:rFonts w:ascii="Aptos" w:hAnsi="Aptos"/>
          <w:b/>
          <w:i w:val="0"/>
          <w:color w:val="10221C"/>
          <w:sz w:val="22"/>
        </w:rPr>
        <w:t>Asset.</w:t>
      </w:r>
      <w:r>
        <w:rPr>
          <w:rFonts w:ascii="Aptos" w:hAnsi="Aptos"/>
          <w:b w:val="0"/>
          <w:i w:val="0"/>
          <w:color w:val="10221C"/>
          <w:sz w:val="22"/>
        </w:rPr>
        <w:t xml:space="preserve"> A verified public digital resource such as a domain or website.</w:t>
      </w:r>
    </w:p>
    <w:p>
      <w:r>
        <w:rPr>
          <w:rFonts w:ascii="Aptos" w:hAnsi="Aptos"/>
          <w:b/>
          <w:i w:val="0"/>
          <w:color w:val="10221C"/>
          <w:sz w:val="22"/>
        </w:rPr>
        <w:t>Attack surface.</w:t>
      </w:r>
      <w:r>
        <w:rPr>
          <w:rFonts w:ascii="Aptos" w:hAnsi="Aptos"/>
          <w:b w:val="0"/>
          <w:i w:val="0"/>
          <w:color w:val="10221C"/>
          <w:sz w:val="22"/>
        </w:rPr>
        <w:t xml:space="preserve"> The set of reachable assets and interfaces that could be targeted.</w:t>
      </w:r>
    </w:p>
    <w:p>
      <w:r>
        <w:rPr>
          <w:rFonts w:ascii="Aptos" w:hAnsi="Aptos"/>
          <w:b/>
          <w:i w:val="0"/>
          <w:color w:val="10221C"/>
          <w:sz w:val="22"/>
        </w:rPr>
        <w:t>Control plane.</w:t>
      </w:r>
      <w:r>
        <w:rPr>
          <w:rFonts w:ascii="Aptos" w:hAnsi="Aptos"/>
          <w:b w:val="0"/>
          <w:i w:val="0"/>
          <w:color w:val="10221C"/>
          <w:sz w:val="22"/>
        </w:rPr>
        <w:t xml:space="preserve"> The customer application, configuration and orchestration services.</w:t>
      </w:r>
    </w:p>
    <w:p>
      <w:r>
        <w:rPr>
          <w:rFonts w:ascii="Aptos" w:hAnsi="Aptos"/>
          <w:b/>
          <w:i w:val="0"/>
          <w:color w:val="10221C"/>
          <w:sz w:val="22"/>
        </w:rPr>
        <w:t>Data plane.</w:t>
      </w:r>
      <w:r>
        <w:rPr>
          <w:rFonts w:ascii="Aptos" w:hAnsi="Aptos"/>
          <w:b w:val="0"/>
          <w:i w:val="0"/>
          <w:color w:val="10221C"/>
          <w:sz w:val="22"/>
        </w:rPr>
        <w:t xml:space="preserve"> Isolated workers that execute approved checks and collect evidence.</w:t>
      </w:r>
    </w:p>
    <w:p>
      <w:r>
        <w:rPr>
          <w:rFonts w:ascii="Aptos" w:hAnsi="Aptos"/>
          <w:b/>
          <w:i w:val="0"/>
          <w:color w:val="10221C"/>
          <w:sz w:val="22"/>
        </w:rPr>
        <w:t>Finding.</w:t>
      </w:r>
      <w:r>
        <w:rPr>
          <w:rFonts w:ascii="Aptos" w:hAnsi="Aptos"/>
          <w:b w:val="0"/>
          <w:i w:val="0"/>
          <w:color w:val="10221C"/>
          <w:sz w:val="22"/>
        </w:rPr>
        <w:t xml:space="preserve"> A deduplicated security issue with evidence and lifecycle.</w:t>
      </w:r>
    </w:p>
    <w:p>
      <w:r>
        <w:rPr>
          <w:rFonts w:ascii="Aptos" w:hAnsi="Aptos"/>
          <w:b/>
          <w:i w:val="0"/>
          <w:color w:val="10221C"/>
          <w:sz w:val="22"/>
        </w:rPr>
        <w:t>Observation.</w:t>
      </w:r>
      <w:r>
        <w:rPr>
          <w:rFonts w:ascii="Aptos" w:hAnsi="Aptos"/>
          <w:b w:val="0"/>
          <w:i w:val="0"/>
          <w:color w:val="10221C"/>
          <w:sz w:val="22"/>
        </w:rPr>
        <w:t xml:space="preserve"> Immutable technical evidence from one check at one time.</w:t>
      </w:r>
    </w:p>
    <w:p>
      <w:r>
        <w:rPr>
          <w:rFonts w:ascii="Aptos" w:hAnsi="Aptos"/>
          <w:b/>
          <w:i w:val="0"/>
          <w:color w:val="10221C"/>
          <w:sz w:val="22"/>
        </w:rPr>
        <w:t>Rule.</w:t>
      </w:r>
      <w:r>
        <w:rPr>
          <w:rFonts w:ascii="Aptos" w:hAnsi="Aptos"/>
          <w:b w:val="0"/>
          <w:i w:val="0"/>
          <w:color w:val="10221C"/>
          <w:sz w:val="22"/>
        </w:rPr>
        <w:t xml:space="preserve"> Versioned logic that interprets observations.</w:t>
      </w:r>
    </w:p>
    <w:p>
      <w:r>
        <w:rPr>
          <w:rFonts w:ascii="Aptos" w:hAnsi="Aptos"/>
          <w:b/>
          <w:i w:val="0"/>
          <w:color w:val="10221C"/>
          <w:sz w:val="22"/>
        </w:rPr>
        <w:t>Verified remediation.</w:t>
      </w:r>
      <w:r>
        <w:rPr>
          <w:rFonts w:ascii="Aptos" w:hAnsi="Aptos"/>
          <w:b w:val="0"/>
          <w:i w:val="0"/>
          <w:color w:val="10221C"/>
          <w:sz w:val="22"/>
        </w:rPr>
        <w:t xml:space="preserve"> A fix confirmed through a subsequent applicable check.</w:t>
      </w:r>
    </w:p>
    <w:p>
      <w:r>
        <w:rPr>
          <w:rFonts w:ascii="Aptos" w:hAnsi="Aptos"/>
          <w:b/>
          <w:i w:val="0"/>
          <w:color w:val="10221C"/>
          <w:sz w:val="22"/>
        </w:rPr>
        <w:t>Design partner.</w:t>
      </w:r>
      <w:r>
        <w:rPr>
          <w:rFonts w:ascii="Aptos" w:hAnsi="Aptos"/>
          <w:b w:val="0"/>
          <w:i w:val="0"/>
          <w:color w:val="10221C"/>
          <w:sz w:val="22"/>
        </w:rPr>
        <w:t xml:space="preserve"> An early customer who provides structured, repeated product feedback.</w:t>
      </w:r>
    </w:p>
    <w:p>
      <w:r>
        <w:rPr>
          <w:rFonts w:ascii="Aptos" w:hAnsi="Aptos"/>
          <w:b/>
          <w:i w:val="0"/>
          <w:color w:val="10221C"/>
          <w:sz w:val="22"/>
        </w:rPr>
        <w:t>SLO.</w:t>
      </w:r>
      <w:r>
        <w:rPr>
          <w:rFonts w:ascii="Aptos" w:hAnsi="Aptos"/>
          <w:b w:val="0"/>
          <w:i w:val="0"/>
          <w:color w:val="10221C"/>
          <w:sz w:val="22"/>
        </w:rPr>
        <w:t xml:space="preserve"> A measurable reliability objective for a service.</w:t>
      </w:r>
    </w:p>
    <w:p>
      <w:pPr>
        <w:pStyle w:val="Heading1"/>
      </w:pPr>
      <w:r>
        <w:t>Sources consulted</w:t>
      </w:r>
    </w:p>
    <w:p>
      <w:pPr>
        <w:pStyle w:val="ListBullet"/>
      </w:pPr>
      <w:r>
        <w:rPr>
          <w:rFonts w:ascii="Aptos" w:hAnsi="Aptos"/>
          <w:b w:val="0"/>
          <w:i w:val="0"/>
          <w:color w:val="10221C"/>
          <w:sz w:val="22"/>
        </w:rPr>
        <w:t>NIST. Cybersecurity Framework 2.0 and Small Business Quick Start resources. https://www.nist.gov/cyberframework</w:t>
      </w:r>
    </w:p>
    <w:p>
      <w:pPr>
        <w:pStyle w:val="ListBullet"/>
      </w:pPr>
      <w:r>
        <w:rPr>
          <w:rFonts w:ascii="Aptos" w:hAnsi="Aptos"/>
          <w:b w:val="0"/>
          <w:i w:val="0"/>
          <w:color w:val="10221C"/>
          <w:sz w:val="22"/>
        </w:rPr>
        <w:t>OWASP. Web Security Testing Guide. https://wstg.owasp.org/</w:t>
      </w:r>
    </w:p>
    <w:p>
      <w:pPr>
        <w:pStyle w:val="ListBullet"/>
      </w:pPr>
      <w:r>
        <w:rPr>
          <w:rFonts w:ascii="Aptos" w:hAnsi="Aptos"/>
          <w:b w:val="0"/>
          <w:i w:val="0"/>
          <w:color w:val="10221C"/>
          <w:sz w:val="22"/>
        </w:rPr>
        <w:t>OWASP. Attack Surface Management Top 10 and Attack Surface Analysis Cheat Sheet. https://owasp.org/</w:t>
      </w:r>
    </w:p>
    <w:p>
      <w:pPr>
        <w:pStyle w:val="ListBullet"/>
      </w:pPr>
      <w:r>
        <w:rPr>
          <w:rFonts w:ascii="Aptos" w:hAnsi="Aptos"/>
          <w:b w:val="0"/>
          <w:i w:val="0"/>
          <w:color w:val="10221C"/>
          <w:sz w:val="22"/>
        </w:rPr>
        <w:t>CISA and international partners. Shifting the Balance of Cybersecurity Risk: Principles and Approaches for Security-by-Design and -Default.</w:t>
      </w:r>
    </w:p>
    <w:p>
      <w:pPr>
        <w:pStyle w:val="ListBullet"/>
      </w:pPr>
      <w:r>
        <w:rPr>
          <w:rFonts w:ascii="Aptos" w:hAnsi="Aptos"/>
          <w:b w:val="0"/>
          <w:i w:val="0"/>
          <w:color w:val="10221C"/>
          <w:sz w:val="22"/>
        </w:rPr>
        <w:t>NIST. AI Risk Management Framework and Generative AI Profile. https://www.nist.gov/itl/ai-risk-management-framework</w:t>
      </w:r>
    </w:p>
    <w:p>
      <w:pPr>
        <w:pStyle w:val="ListBullet"/>
      </w:pPr>
      <w:r>
        <w:rPr>
          <w:rFonts w:ascii="Aptos" w:hAnsi="Aptos"/>
          <w:b w:val="0"/>
          <w:i w:val="0"/>
          <w:color w:val="10221C"/>
          <w:sz w:val="22"/>
        </w:rPr>
        <w:t>OWASP. GenAI Security Project and LLM Top 10. https://genai.owasp.org/</w:t>
      </w:r>
    </w:p>
    <w:p>
      <w:pPr>
        <w:pStyle w:val="ListBullet"/>
      </w:pPr>
      <w:r>
        <w:rPr>
          <w:rFonts w:ascii="Aptos" w:hAnsi="Aptos"/>
          <w:b w:val="0"/>
          <w:i w:val="0"/>
          <w:color w:val="10221C"/>
          <w:sz w:val="22"/>
        </w:rPr>
        <w:t>Bank of Tanzania. National Payment Systems Annual Report 2025 (context for Tanzanian digital infrastructure).</w:t>
      </w:r>
    </w:p>
    <w:p>
      <w:pPr>
        <w:pStyle w:val="ListBullet"/>
      </w:pPr>
      <w:r>
        <w:rPr>
          <w:rFonts w:ascii="Aptos" w:hAnsi="Aptos"/>
          <w:b w:val="0"/>
          <w:i w:val="0"/>
          <w:color w:val="10221C"/>
          <w:sz w:val="22"/>
        </w:rPr>
        <w:t>Public market review of Tanzanian/African cybersecurity services and SME security-monitoring products, August 2026. Competitor capabilities must be revalidated during discovery.</w:t>
      </w:r>
    </w:p>
    <w:p>
      <w:r>
        <w:br w:type="page"/>
      </w:r>
    </w:p>
    <w:p>
      <w:pPr>
        <w:pStyle w:val="Heading1"/>
      </w:pPr>
      <w:r>
        <w:t>Approval record</w:t>
      </w:r>
    </w:p>
    <w:tbl>
      <w:tblPr>
        <w:tblW w:type="auto" w:w="0"/>
        <w:jc w:val="left"/>
        <w:tblLayout w:type="fixed"/>
        <w:tblLook w:firstColumn="1" w:firstRow="1" w:lastColumn="0" w:lastRow="0" w:noHBand="0" w:noVBand="1" w:val="04A0"/>
        <w:tblW w:w="9360" w:type="dxa"/>
        <w:tblInd w:w="120" w:type="dxa"/>
      </w:tblPr>
      <w:tblGrid>
        <w:gridCol w:w="1944"/>
        <w:gridCol w:w="2664"/>
        <w:gridCol w:w="3096"/>
        <w:gridCol w:w="1656"/>
      </w:tblGrid>
      <w:tr>
        <w:trPr>
          <w:tblHeader w:val="true"/>
        </w:trPr>
        <w:tc>
          <w:tcPr>
            <w:tcW w:type="dxa" w:w="1944"/>
            <w:vAlign w:val="center"/>
            <w:tcW w:w="1944" w:type="dxa"/>
            <w:tcMar>
              <w:top w:w="80" w:type="dxa"/>
              <w:start w:w="120" w:type="dxa"/>
              <w:bottom w:w="80" w:type="dxa"/>
              <w:end w:w="120" w:type="dxa"/>
            </w:tcMar>
            <w:shd w:fill="12392F"/>
          </w:tcPr>
          <w:p>
            <w:pPr>
              <w:spacing w:after="0" w:line="252" w:lineRule="auto"/>
            </w:pPr>
            <w:r>
              <w:rPr>
                <w:rFonts w:ascii="Aptos" w:hAnsi="Aptos"/>
                <w:b/>
                <w:i w:val="0"/>
                <w:color w:val="FFFFFF"/>
                <w:sz w:val="17"/>
              </w:rPr>
              <w:t>Role</w:t>
            </w:r>
          </w:p>
        </w:tc>
        <w:tc>
          <w:tcPr>
            <w:tcW w:type="dxa" w:w="2664"/>
            <w:vAlign w:val="center"/>
            <w:tcW w:w="2664" w:type="dxa"/>
            <w:tcMar>
              <w:top w:w="80" w:type="dxa"/>
              <w:start w:w="120" w:type="dxa"/>
              <w:bottom w:w="80" w:type="dxa"/>
              <w:end w:w="120" w:type="dxa"/>
            </w:tcMar>
            <w:shd w:fill="12392F"/>
          </w:tcPr>
          <w:p>
            <w:pPr>
              <w:spacing w:after="0" w:line="252" w:lineRule="auto"/>
            </w:pPr>
            <w:r>
              <w:rPr>
                <w:rFonts w:ascii="Aptos" w:hAnsi="Aptos"/>
                <w:b/>
                <w:i w:val="0"/>
                <w:color w:val="FFFFFF"/>
                <w:sz w:val="17"/>
              </w:rPr>
              <w:t>Name</w:t>
            </w:r>
          </w:p>
        </w:tc>
        <w:tc>
          <w:tcPr>
            <w:tcW w:type="dxa" w:w="3096"/>
            <w:vAlign w:val="center"/>
            <w:tcW w:w="3096" w:type="dxa"/>
            <w:tcMar>
              <w:top w:w="80" w:type="dxa"/>
              <w:start w:w="120" w:type="dxa"/>
              <w:bottom w:w="80" w:type="dxa"/>
              <w:end w:w="120" w:type="dxa"/>
            </w:tcMar>
            <w:shd w:fill="12392F"/>
          </w:tcPr>
          <w:p>
            <w:pPr>
              <w:spacing w:after="0" w:line="252" w:lineRule="auto"/>
            </w:pPr>
            <w:r>
              <w:rPr>
                <w:rFonts w:ascii="Aptos" w:hAnsi="Aptos"/>
                <w:b/>
                <w:i w:val="0"/>
                <w:color w:val="FFFFFF"/>
                <w:sz w:val="17"/>
              </w:rPr>
              <w:t>Decision</w:t>
            </w:r>
          </w:p>
        </w:tc>
        <w:tc>
          <w:tcPr>
            <w:tcW w:type="dxa" w:w="1656"/>
            <w:vAlign w:val="center"/>
            <w:tcW w:w="1656" w:type="dxa"/>
            <w:tcMar>
              <w:top w:w="80" w:type="dxa"/>
              <w:start w:w="120" w:type="dxa"/>
              <w:bottom w:w="80" w:type="dxa"/>
              <w:end w:w="120" w:type="dxa"/>
            </w:tcMar>
            <w:shd w:fill="12392F"/>
          </w:tcPr>
          <w:p>
            <w:pPr>
              <w:spacing w:after="0" w:line="252" w:lineRule="auto"/>
            </w:pPr>
            <w:r>
              <w:rPr>
                <w:rFonts w:ascii="Aptos" w:hAnsi="Aptos"/>
                <w:b/>
                <w:i w:val="0"/>
                <w:color w:val="FFFFFF"/>
                <w:sz w:val="17"/>
              </w:rPr>
              <w:t>Date</w:t>
            </w:r>
          </w:p>
        </w:tc>
      </w:tr>
      <w:tr>
        <w:tc>
          <w:tcPr>
            <w:tcW w:type="dxa" w:w="1944"/>
            <w:vAlign w:val="center"/>
            <w:tcW w:w="1944" w:type="dxa"/>
            <w:tcMar>
              <w:top w:w="80" w:type="dxa"/>
              <w:start w:w="120" w:type="dxa"/>
              <w:bottom w:w="80" w:type="dxa"/>
              <w:end w:w="120" w:type="dxa"/>
            </w:tcMar>
            <w:shd w:fill="FFFFFF"/>
          </w:tcPr>
          <w:p>
            <w:pPr>
              <w:spacing w:after="0" w:line="252" w:lineRule="auto"/>
            </w:pPr>
            <w:r>
              <w:rPr>
                <w:rFonts w:ascii="Aptos" w:hAnsi="Aptos"/>
                <w:b w:val="0"/>
                <w:i w:val="0"/>
                <w:color w:val="10221C"/>
                <w:sz w:val="17"/>
              </w:rPr>
              <w:t>Product owner</w:t>
            </w:r>
          </w:p>
        </w:tc>
        <w:tc>
          <w:tcPr>
            <w:tcW w:type="dxa" w:w="2664"/>
            <w:vAlign w:val="center"/>
            <w:tcW w:w="2664" w:type="dxa"/>
            <w:tcMar>
              <w:top w:w="80" w:type="dxa"/>
              <w:start w:w="120" w:type="dxa"/>
              <w:bottom w:w="80" w:type="dxa"/>
              <w:end w:w="120" w:type="dxa"/>
            </w:tcMar>
            <w:shd w:fill="FFFFFF"/>
          </w:tcPr>
          <w:p>
            <w:pPr>
              <w:spacing w:after="0" w:line="252" w:lineRule="auto"/>
            </w:pPr>
            <w:r>
              <w:rPr>
                <w:rFonts w:ascii="Aptos" w:hAnsi="Aptos"/>
                <w:b w:val="0"/>
                <w:i w:val="0"/>
                <w:color w:val="10221C"/>
                <w:sz w:val="17"/>
              </w:rPr>
            </w:r>
          </w:p>
        </w:tc>
        <w:tc>
          <w:tcPr>
            <w:tcW w:type="dxa" w:w="3096"/>
            <w:vAlign w:val="center"/>
            <w:tcW w:w="3096" w:type="dxa"/>
            <w:tcMar>
              <w:top w:w="80" w:type="dxa"/>
              <w:start w:w="120" w:type="dxa"/>
              <w:bottom w:w="80" w:type="dxa"/>
              <w:end w:w="120" w:type="dxa"/>
            </w:tcMar>
            <w:shd w:fill="FFFFFF"/>
          </w:tcPr>
          <w:p>
            <w:pPr>
              <w:spacing w:after="0" w:line="252" w:lineRule="auto"/>
            </w:pPr>
            <w:r>
              <w:rPr>
                <w:rFonts w:ascii="Aptos" w:hAnsi="Aptos"/>
                <w:b w:val="0"/>
                <w:i w:val="0"/>
                <w:color w:val="10221C"/>
                <w:sz w:val="17"/>
              </w:rPr>
              <w:t>☐ Approve  ☐ Revise</w:t>
            </w:r>
          </w:p>
        </w:tc>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r>
          </w:p>
        </w:tc>
      </w:tr>
      <w:tr>
        <w:tc>
          <w:tcPr>
            <w:tcW w:type="dxa" w:w="1944"/>
            <w:vAlign w:val="center"/>
            <w:tcW w:w="1944" w:type="dxa"/>
            <w:tcMar>
              <w:top w:w="80" w:type="dxa"/>
              <w:start w:w="120" w:type="dxa"/>
              <w:bottom w:w="80" w:type="dxa"/>
              <w:end w:w="120" w:type="dxa"/>
            </w:tcMar>
            <w:shd w:fill="F3F5F1"/>
          </w:tcPr>
          <w:p>
            <w:pPr>
              <w:spacing w:after="0" w:line="252" w:lineRule="auto"/>
            </w:pPr>
            <w:r>
              <w:rPr>
                <w:rFonts w:ascii="Aptos" w:hAnsi="Aptos"/>
                <w:b w:val="0"/>
                <w:i w:val="0"/>
                <w:color w:val="10221C"/>
                <w:sz w:val="17"/>
              </w:rPr>
              <w:t>Engineering lead</w:t>
            </w:r>
          </w:p>
        </w:tc>
        <w:tc>
          <w:tcPr>
            <w:tcW w:type="dxa" w:w="2664"/>
            <w:vAlign w:val="center"/>
            <w:tcW w:w="2664" w:type="dxa"/>
            <w:tcMar>
              <w:top w:w="80" w:type="dxa"/>
              <w:start w:w="120" w:type="dxa"/>
              <w:bottom w:w="80" w:type="dxa"/>
              <w:end w:w="120" w:type="dxa"/>
            </w:tcMar>
            <w:shd w:fill="F3F5F1"/>
          </w:tcPr>
          <w:p>
            <w:pPr>
              <w:spacing w:after="0" w:line="252" w:lineRule="auto"/>
            </w:pPr>
            <w:r>
              <w:rPr>
                <w:rFonts w:ascii="Aptos" w:hAnsi="Aptos"/>
                <w:b w:val="0"/>
                <w:i w:val="0"/>
                <w:color w:val="10221C"/>
                <w:sz w:val="17"/>
              </w:rPr>
            </w:r>
          </w:p>
        </w:tc>
        <w:tc>
          <w:tcPr>
            <w:tcW w:type="dxa" w:w="3096"/>
            <w:vAlign w:val="center"/>
            <w:tcW w:w="3096" w:type="dxa"/>
            <w:tcMar>
              <w:top w:w="80" w:type="dxa"/>
              <w:start w:w="120" w:type="dxa"/>
              <w:bottom w:w="80" w:type="dxa"/>
              <w:end w:w="120" w:type="dxa"/>
            </w:tcMar>
            <w:shd w:fill="F3F5F1"/>
          </w:tcPr>
          <w:p>
            <w:pPr>
              <w:spacing w:after="0" w:line="252" w:lineRule="auto"/>
            </w:pPr>
            <w:r>
              <w:rPr>
                <w:rFonts w:ascii="Aptos" w:hAnsi="Aptos"/>
                <w:b w:val="0"/>
                <w:i w:val="0"/>
                <w:color w:val="10221C"/>
                <w:sz w:val="17"/>
              </w:rPr>
              <w:t>☐ Approve  ☐ Revise</w:t>
            </w:r>
          </w:p>
        </w:tc>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r>
          </w:p>
        </w:tc>
      </w:tr>
      <w:tr>
        <w:tc>
          <w:tcPr>
            <w:tcW w:type="dxa" w:w="1944"/>
            <w:vAlign w:val="center"/>
            <w:tcW w:w="1944" w:type="dxa"/>
            <w:tcMar>
              <w:top w:w="80" w:type="dxa"/>
              <w:start w:w="120" w:type="dxa"/>
              <w:bottom w:w="80" w:type="dxa"/>
              <w:end w:w="120" w:type="dxa"/>
            </w:tcMar>
            <w:shd w:fill="FFFFFF"/>
          </w:tcPr>
          <w:p>
            <w:pPr>
              <w:spacing w:after="0" w:line="252" w:lineRule="auto"/>
            </w:pPr>
            <w:r>
              <w:rPr>
                <w:rFonts w:ascii="Aptos" w:hAnsi="Aptos"/>
                <w:b w:val="0"/>
                <w:i w:val="0"/>
                <w:color w:val="10221C"/>
                <w:sz w:val="17"/>
              </w:rPr>
              <w:t>Security reviewer</w:t>
            </w:r>
          </w:p>
        </w:tc>
        <w:tc>
          <w:tcPr>
            <w:tcW w:type="dxa" w:w="2664"/>
            <w:vAlign w:val="center"/>
            <w:tcW w:w="2664" w:type="dxa"/>
            <w:tcMar>
              <w:top w:w="80" w:type="dxa"/>
              <w:start w:w="120" w:type="dxa"/>
              <w:bottom w:w="80" w:type="dxa"/>
              <w:end w:w="120" w:type="dxa"/>
            </w:tcMar>
            <w:shd w:fill="FFFFFF"/>
          </w:tcPr>
          <w:p>
            <w:pPr>
              <w:spacing w:after="0" w:line="252" w:lineRule="auto"/>
            </w:pPr>
            <w:r>
              <w:rPr>
                <w:rFonts w:ascii="Aptos" w:hAnsi="Aptos"/>
                <w:b w:val="0"/>
                <w:i w:val="0"/>
                <w:color w:val="10221C"/>
                <w:sz w:val="17"/>
              </w:rPr>
            </w:r>
          </w:p>
        </w:tc>
        <w:tc>
          <w:tcPr>
            <w:tcW w:type="dxa" w:w="3096"/>
            <w:vAlign w:val="center"/>
            <w:tcW w:w="3096" w:type="dxa"/>
            <w:tcMar>
              <w:top w:w="80" w:type="dxa"/>
              <w:start w:w="120" w:type="dxa"/>
              <w:bottom w:w="80" w:type="dxa"/>
              <w:end w:w="120" w:type="dxa"/>
            </w:tcMar>
            <w:shd w:fill="FFFFFF"/>
          </w:tcPr>
          <w:p>
            <w:pPr>
              <w:spacing w:after="0" w:line="252" w:lineRule="auto"/>
            </w:pPr>
            <w:r>
              <w:rPr>
                <w:rFonts w:ascii="Aptos" w:hAnsi="Aptos"/>
                <w:b w:val="0"/>
                <w:i w:val="0"/>
                <w:color w:val="10221C"/>
                <w:sz w:val="17"/>
              </w:rPr>
              <w:t>☐ Approve  ☐ Revise</w:t>
            </w:r>
          </w:p>
        </w:tc>
        <w:tc>
          <w:tcPr>
            <w:tcW w:type="dxa" w:w="1656"/>
            <w:vAlign w:val="center"/>
            <w:tcW w:w="1656" w:type="dxa"/>
            <w:tcMar>
              <w:top w:w="80" w:type="dxa"/>
              <w:start w:w="120" w:type="dxa"/>
              <w:bottom w:w="80" w:type="dxa"/>
              <w:end w:w="120" w:type="dxa"/>
            </w:tcMar>
            <w:shd w:fill="FFFFFF"/>
          </w:tcPr>
          <w:p>
            <w:pPr>
              <w:spacing w:after="0" w:line="252" w:lineRule="auto"/>
            </w:pPr>
            <w:r>
              <w:rPr>
                <w:rFonts w:ascii="Aptos" w:hAnsi="Aptos"/>
                <w:b w:val="0"/>
                <w:i w:val="0"/>
                <w:color w:val="10221C"/>
                <w:sz w:val="17"/>
              </w:rPr>
            </w:r>
          </w:p>
        </w:tc>
      </w:tr>
      <w:tr>
        <w:tc>
          <w:tcPr>
            <w:tcW w:type="dxa" w:w="1944"/>
            <w:vAlign w:val="center"/>
            <w:tcW w:w="1944" w:type="dxa"/>
            <w:tcMar>
              <w:top w:w="80" w:type="dxa"/>
              <w:start w:w="120" w:type="dxa"/>
              <w:bottom w:w="80" w:type="dxa"/>
              <w:end w:w="120" w:type="dxa"/>
            </w:tcMar>
            <w:shd w:fill="F3F5F1"/>
          </w:tcPr>
          <w:p>
            <w:pPr>
              <w:spacing w:after="0" w:line="252" w:lineRule="auto"/>
            </w:pPr>
            <w:r>
              <w:rPr>
                <w:rFonts w:ascii="Aptos" w:hAnsi="Aptos"/>
                <w:b w:val="0"/>
                <w:i w:val="0"/>
                <w:color w:val="10221C"/>
                <w:sz w:val="17"/>
              </w:rPr>
              <w:t>Design partner</w:t>
            </w:r>
          </w:p>
        </w:tc>
        <w:tc>
          <w:tcPr>
            <w:tcW w:type="dxa" w:w="2664"/>
            <w:vAlign w:val="center"/>
            <w:tcW w:w="2664" w:type="dxa"/>
            <w:tcMar>
              <w:top w:w="80" w:type="dxa"/>
              <w:start w:w="120" w:type="dxa"/>
              <w:bottom w:w="80" w:type="dxa"/>
              <w:end w:w="120" w:type="dxa"/>
            </w:tcMar>
            <w:shd w:fill="F3F5F1"/>
          </w:tcPr>
          <w:p>
            <w:pPr>
              <w:spacing w:after="0" w:line="252" w:lineRule="auto"/>
            </w:pPr>
            <w:r>
              <w:rPr>
                <w:rFonts w:ascii="Aptos" w:hAnsi="Aptos"/>
                <w:b w:val="0"/>
                <w:i w:val="0"/>
                <w:color w:val="10221C"/>
                <w:sz w:val="17"/>
              </w:rPr>
            </w:r>
          </w:p>
        </w:tc>
        <w:tc>
          <w:tcPr>
            <w:tcW w:type="dxa" w:w="3096"/>
            <w:vAlign w:val="center"/>
            <w:tcW w:w="3096" w:type="dxa"/>
            <w:tcMar>
              <w:top w:w="80" w:type="dxa"/>
              <w:start w:w="120" w:type="dxa"/>
              <w:bottom w:w="80" w:type="dxa"/>
              <w:end w:w="120" w:type="dxa"/>
            </w:tcMar>
            <w:shd w:fill="F3F5F1"/>
          </w:tcPr>
          <w:p>
            <w:pPr>
              <w:spacing w:after="0" w:line="252" w:lineRule="auto"/>
            </w:pPr>
            <w:r>
              <w:rPr>
                <w:rFonts w:ascii="Aptos" w:hAnsi="Aptos"/>
                <w:b w:val="0"/>
                <w:i w:val="0"/>
                <w:color w:val="10221C"/>
                <w:sz w:val="17"/>
              </w:rPr>
              <w:t>☐ Acknowledge</w:t>
            </w:r>
          </w:p>
        </w:tc>
        <w:tc>
          <w:tcPr>
            <w:tcW w:type="dxa" w:w="1656"/>
            <w:vAlign w:val="center"/>
            <w:tcW w:w="1656" w:type="dxa"/>
            <w:tcMar>
              <w:top w:w="80" w:type="dxa"/>
              <w:start w:w="120" w:type="dxa"/>
              <w:bottom w:w="80" w:type="dxa"/>
              <w:end w:w="120" w:type="dxa"/>
            </w:tcMar>
            <w:shd w:fill="F3F5F1"/>
          </w:tcPr>
          <w:p>
            <w:pPr>
              <w:spacing w:after="0" w:line="252" w:lineRule="auto"/>
            </w:pPr>
            <w:r>
              <w:rPr>
                <w:rFonts w:ascii="Aptos" w:hAnsi="Aptos"/>
                <w:b w:val="0"/>
                <w:i w:val="0"/>
                <w:color w:val="10221C"/>
                <w:sz w:val="17"/>
              </w:rPr>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5716C"/>
        <w:sz w:val="16"/>
      </w:rPr>
      <w:t>Living document  •  v1.0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5716C"/>
        <w:sz w:val="17"/>
      </w:rPr>
      <w:t>KINGAWEB  /  PRODUCT &amp; ENGINEERING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022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12392F"/>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2392F"/>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65716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0221C"/>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571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200" w:line="276" w:lineRule="auto"/>
      <w:ind w:left="259" w:right="259"/>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KingaWeb Product &amp; Engineering Master Plan</dc:title>
  <dc:subject>Living product, security, architecture and delivery blueprint</dc:subject>
  <dc:creator>KingaWeb Product Team</dc:creator>
  <cp:keywords>KingaWeb, cybersecurity, product roadmap, architecture, Tanzania, Africa</cp:keywords>
  <dc:description>Version 1.0 working baseline</dc:description>
  <cp:lastModifiedBy/>
  <cp:revision>1</cp:revision>
  <dcterms:created xsi:type="dcterms:W3CDTF">2013-12-23T23:15:00Z</dcterms:created>
  <dcterms:modified xsi:type="dcterms:W3CDTF">2013-12-23T23:15:00Z</dcterms:modified>
  <cp:category/>
</cp:coreProperties>
</file>