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left"/>
      </w:pPr>
      <w:r>
        <w:rPr>
          <w:rFonts w:ascii="Microsoft YaHei" w:hAnsi="Microsoft YaHei" w:eastAsia="Microsoft YaHei"/>
          <w:b/>
          <w:color w:val="1F4D78"/>
          <w:sz w:val="50"/>
        </w:rPr>
        <w:t>AI辅助开发周工作文档</w:t>
      </w:r>
    </w:p>
    <w:p>
      <w:pPr>
        <w:spacing w:after="300"/>
      </w:pPr>
      <w:r>
        <w:rPr>
          <w:rFonts w:ascii="Microsoft YaHei" w:hAnsi="Microsoft YaHei" w:eastAsia="Microsoft YaHei"/>
          <w:color w:val="666666"/>
          <w:sz w:val="26"/>
        </w:rPr>
        <w:t>主讲教师批量导入与教学数据功能完善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OBE 教学质量监测与评价平台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课程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开源软件通识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成员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qjk / GitHub: godkunzzz3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统计周期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2026 年 6 月 8 日 - 2026 年 6 月 15 日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代码仓库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github.com/iconle/kaiyuan_soft</w:t>
            </w:r>
          </w:p>
        </w:tc>
      </w:tr>
    </w:tbl>
    <w:p>
      <w:pPr>
        <w:spacing w:after="60"/>
      </w:pP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一、本周工作概览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本周围绕教学数据导出、课程达成度计算、PDF 中文显示以及主讲教师批量导入功能开展开发。所有列入本周记录的 Issue 均有对应 Git 提交和 Pull Request，可通过仓库历史追溯。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E74B5"/>
                <w:sz w:val="30"/>
              </w:rPr>
              <w:t>9 项</w:t>
              <w:br/>
            </w:r>
            <w:r>
              <w:rPr>
                <w:rFonts w:ascii="Microsoft YaHei" w:hAnsi="Microsoft YaHei" w:eastAsia="Microsoft YaHei"/>
                <w:color w:val="666666"/>
                <w:sz w:val="18"/>
              </w:rPr>
              <w:t>Issue 完成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E74B5"/>
                <w:sz w:val="30"/>
              </w:rPr>
              <w:t>7 个</w:t>
              <w:br/>
            </w:r>
            <w:r>
              <w:rPr>
                <w:rFonts w:ascii="Microsoft YaHei" w:hAnsi="Microsoft YaHei" w:eastAsia="Microsoft YaHei"/>
                <w:color w:val="666666"/>
                <w:sz w:val="18"/>
              </w:rPr>
              <w:t>PR 合并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E74B5"/>
                <w:sz w:val="30"/>
              </w:rPr>
              <w:t>13 个</w:t>
              <w:br/>
            </w:r>
            <w:r>
              <w:rPr>
                <w:rFonts w:ascii="Microsoft YaHei" w:hAnsi="Microsoft YaHei" w:eastAsia="Microsoft YaHei"/>
                <w:color w:val="666666"/>
                <w:sz w:val="18"/>
              </w:rPr>
              <w:t>PR #114 变更文件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E74B5"/>
                <w:sz w:val="30"/>
              </w:rPr>
              <w:t>1112 行</w:t>
              <w:br/>
            </w:r>
            <w:r>
              <w:rPr>
                <w:rFonts w:ascii="Microsoft YaHei" w:hAnsi="Microsoft YaHei" w:eastAsia="Microsoft YaHei"/>
                <w:color w:val="666666"/>
                <w:sz w:val="18"/>
              </w:rPr>
              <w:t>PR #114 新增代码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二、任务完成情况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1900"/>
        <w:gridCol w:w="4560"/>
        <w:gridCol w:w="1600"/>
      </w:tblGrid>
      <w:tr>
        <w:trPr>
          <w:tblHeader w:val="true"/>
        </w:trP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Issue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任务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完成内容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结果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#74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专业负责人宏观看板补充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完善专业负责人宏观看板，并区分不同角色的看板入口。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PR #88 已合并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#78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主讲教师课程报表导出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补全 PDF 内容，修正课程 Excel 数据结构与指标点编号。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PR #89 已合并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配置修复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后端 MVC 测试配置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拆分 Mapper 扫描配置并修复控制器测试依赖。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PR #90 已合并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#76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教务管理员 Excel 导出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修正 Axios 下载请求中 responseType 参数位置。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PR #91 已合并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#51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个人完成度计算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补全个人完成度计算、展示及导出相关功能。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PR #92 已合并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#94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主讲教师 PDF 中文乱码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修正 PDF 字体与中文渲染处理，避免导出内容乱码。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PR #108 已合并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#95/#100/#101/#102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主讲教师批量导入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新增课程目标、考核点、题目和成绩的模板下载、批量导入及错误校验。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PR #114 已合并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2240" w:h="15840"/>
          <w:pgMar w:top="1152" w:right="1440" w:bottom="1152" w:left="1440" w:header="708" w:footer="708" w:gutter="0"/>
          <w:cols w:space="720"/>
          <w:docGrid w:linePitch="360"/>
        </w:sectPr>
      </w:pP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三、重点成果：主讲教师批量导入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本周后半段将四个相关 Issue 集中到分支 qjk_95_100_101_102 开发，并通过一个 PR 统一提交。该方式减少了重复接口设计，也便于统一模板规范、错误信息和测试策略。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4500"/>
        <w:gridCol w:w="3360"/>
      </w:tblGrid>
      <w:tr>
        <w:trPr>
          <w:tblHeader w:val="true"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模块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实现内容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关键校验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课程目标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下载标准模板；批量导入课程目标；自动创建缺失的课程大纲。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严格校验表头、编号、内容和重复项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考核点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下载模板；导入考核点及其课程目标绑定关系。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校验权重范围、目标引用及总权重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考核题目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下载模板；按考核点导入题目和目标绑定。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校验题号、分值、重复项及总分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成绩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新增前端导入入口；加强既有 Excel 解析服务。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校验学生、模板表头、满分和分值范围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四、技术实现与工程质量</w:t>
      </w:r>
    </w:p>
    <w:p>
      <w:pPr>
        <w:pStyle w:val="ListBullet"/>
        <w:spacing w:after="100" w:line="264" w:lineRule="auto"/>
      </w:pPr>
      <w:r>
        <w:rPr>
          <w:rFonts w:ascii="Microsoft YaHei" w:hAnsi="Microsoft YaHei" w:eastAsia="Microsoft YaHei"/>
          <w:sz w:val="22"/>
        </w:rPr>
        <w:t>后端新增统一导入服务，使用事务保证“全部校验通过后再写入数据库”，避免部分导入。</w:t>
      </w:r>
    </w:p>
    <w:p>
      <w:pPr>
        <w:pStyle w:val="ListBullet"/>
        <w:spacing w:after="100" w:line="264" w:lineRule="auto"/>
      </w:pPr>
      <w:r>
        <w:rPr>
          <w:rFonts w:ascii="Microsoft YaHei" w:hAnsi="Microsoft YaHei" w:eastAsia="Microsoft YaHei"/>
          <w:sz w:val="22"/>
        </w:rPr>
        <w:t>Excel 模板包含固定表头和填写说明，业务数据工作表不预置示例数据，降低误导风险。</w:t>
      </w:r>
    </w:p>
    <w:p>
      <w:pPr>
        <w:pStyle w:val="ListBullet"/>
        <w:spacing w:after="100" w:line="264" w:lineRule="auto"/>
      </w:pPr>
      <w:r>
        <w:rPr>
          <w:rFonts w:ascii="Microsoft YaHei" w:hAnsi="Microsoft YaHei" w:eastAsia="Microsoft YaHei"/>
          <w:sz w:val="22"/>
        </w:rPr>
        <w:t>错误信息按行聚合，一次返回多个问题，提示用户具体行号、字段和修改方向。</w:t>
      </w:r>
    </w:p>
    <w:p>
      <w:pPr>
        <w:pStyle w:val="ListBullet"/>
        <w:spacing w:after="100" w:line="264" w:lineRule="auto"/>
      </w:pPr>
      <w:r>
        <w:rPr>
          <w:rFonts w:ascii="Microsoft YaHei" w:hAnsi="Microsoft YaHei" w:eastAsia="Microsoft YaHei"/>
          <w:sz w:val="22"/>
        </w:rPr>
        <w:t>前端统一限制 .xlsx 文件，并对后端返回的错误内容进行安全转义后展示。</w:t>
      </w:r>
    </w:p>
    <w:p>
      <w:pPr>
        <w:pStyle w:val="ListBullet"/>
        <w:spacing w:after="100" w:line="264" w:lineRule="auto"/>
      </w:pPr>
      <w:r>
        <w:rPr>
          <w:rFonts w:ascii="Microsoft YaHei" w:hAnsi="Microsoft YaHei" w:eastAsia="Microsoft YaHei"/>
          <w:sz w:val="22"/>
        </w:rPr>
        <w:t>新增服务层单元测试，覆盖模板表头、非法表头、正常导入及成绩模板不匹配场景。</w:t>
      </w: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五、AI 辅助开发过程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阶段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具体工作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1. 需求分析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读取 Issue 描述与讨论，识别模板一致性、严格匹配和可操作错误提示等验收要求。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2. 代码检索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检索现有 Controller、Service、Mapper 和 Vue 页面，优先复用项目既有结构。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3. 方案设计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将四类导入抽象为模板生成、文件解析、批量校验、事务写入和结果提示五个阶段。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4. 编码实现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AI 辅助定位调用链、生成局部代码和测试骨架，由开发者审核业务约束与最终修改。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5. 验证提交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运行后端测试、前端构建和差异检查；按 qjk_问题编号 规范推送并创建 PR。</w:t>
            </w:r>
          </w:p>
        </w:tc>
      </w:tr>
    </w:tbl>
    <w:p>
      <w:pPr>
        <w:spacing w:after="40"/>
      </w:pPr>
    </w:p>
    <w:p>
      <w:pPr>
        <w:sectPr>
          <w:pgSz w:w="12240" w:h="15840"/>
          <w:pgMar w:top="1152" w:right="1440" w:bottom="1152" w:left="1440" w:header="708" w:footer="708" w:gutter="0"/>
          <w:cols w:space="720"/>
          <w:docGrid w:linePitch="360"/>
        </w:sectPr>
      </w:pP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六、测试与提交记录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4800"/>
        <w:gridCol w:w="2460"/>
      </w:tblGrid>
      <w:tr>
        <w:trPr>
          <w:tblHeader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验证项</w:t>
            </w:r>
          </w:p>
        </w:tc>
        <w:tc>
          <w:tcPr>
            <w:tcW w:type="dxa" w:w="4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内容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结果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后端自动测试</w:t>
            </w:r>
          </w:p>
        </w:tc>
        <w:tc>
          <w:tcPr>
            <w:tcW w:type="dxa" w:w="4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mvn.cmd -q test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前端生产构建</w:t>
            </w:r>
          </w:p>
        </w:tc>
        <w:tc>
          <w:tcPr>
            <w:tcW w:type="dxa" w:w="4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npm.cmd run build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代码差异检查</w:t>
            </w:r>
          </w:p>
        </w:tc>
        <w:tc>
          <w:tcPr>
            <w:tcW w:type="dxa" w:w="4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git diff --check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统一 PR</w:t>
            </w:r>
          </w:p>
        </w:tc>
        <w:tc>
          <w:tcPr>
            <w:tcW w:type="dxa" w:w="4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PR #114，2 个提交、13 个变更文件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2026-06-15 已合并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关联 Issue</w:t>
            </w:r>
          </w:p>
        </w:tc>
        <w:tc>
          <w:tcPr>
            <w:tcW w:type="dxa" w:w="4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#95、#100、#101、#102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已关闭</w:t>
            </w:r>
          </w:p>
        </w:tc>
      </w:tr>
    </w:tbl>
    <w:p>
      <w:pPr>
        <w:spacing w:after="40"/>
      </w:pPr>
    </w:p>
    <w:p>
      <w:pPr>
        <w:spacing w:before="0" w:after="80" w:line="264" w:lineRule="auto"/>
      </w:pPr>
      <w:r>
        <w:rPr>
          <w:rFonts w:ascii="Microsoft YaHei" w:hAnsi="Microsoft YaHei" w:eastAsia="Microsoft YaHei"/>
          <w:b/>
          <w:i w:val="0"/>
          <w:sz w:val="22"/>
        </w:rPr>
        <w:t>相关链接：</w:t>
      </w:r>
      <w:hyperlink r:id="rId11">
        <w:r>
          <w:rPr>
            <w:rFonts w:ascii="Microsoft YaHei" w:hAnsi="Microsoft YaHei" w:eastAsia="Microsoft YaHei"/>
            <w:color w:val="2E74B5"/>
            <w:u w:val="single"/>
          </w:rPr>
          <w:t>PR #114</w:t>
        </w:r>
      </w:hyperlink>
    </w:p>
    <w:p>
      <w:pPr>
        <w:spacing w:after="60"/>
        <w:ind w:left="360"/>
      </w:pPr>
      <w:hyperlink r:id="rId12">
        <w:r>
          <w:rPr>
            <w:rFonts w:ascii="Microsoft YaHei" w:hAnsi="Microsoft YaHei" w:eastAsia="Microsoft YaHei"/>
            <w:color w:val="2E74B5"/>
            <w:u w:val="single"/>
          </w:rPr>
          <w:t>Issue #95</w:t>
        </w:r>
      </w:hyperlink>
    </w:p>
    <w:p>
      <w:pPr>
        <w:spacing w:after="60"/>
        <w:ind w:left="360"/>
      </w:pPr>
      <w:hyperlink r:id="rId13">
        <w:r>
          <w:rPr>
            <w:rFonts w:ascii="Microsoft YaHei" w:hAnsi="Microsoft YaHei" w:eastAsia="Microsoft YaHei"/>
            <w:color w:val="2E74B5"/>
            <w:u w:val="single"/>
          </w:rPr>
          <w:t>Issue #100</w:t>
        </w:r>
      </w:hyperlink>
    </w:p>
    <w:p>
      <w:pPr>
        <w:spacing w:after="60"/>
        <w:ind w:left="360"/>
      </w:pPr>
      <w:hyperlink r:id="rId14">
        <w:r>
          <w:rPr>
            <w:rFonts w:ascii="Microsoft YaHei" w:hAnsi="Microsoft YaHei" w:eastAsia="Microsoft YaHei"/>
            <w:color w:val="2E74B5"/>
            <w:u w:val="single"/>
          </w:rPr>
          <w:t>Issue #101</w:t>
        </w:r>
      </w:hyperlink>
    </w:p>
    <w:p>
      <w:pPr>
        <w:spacing w:after="60"/>
        <w:ind w:left="360"/>
      </w:pPr>
      <w:hyperlink r:id="rId15">
        <w:r>
          <w:rPr>
            <w:rFonts w:ascii="Microsoft YaHei" w:hAnsi="Microsoft YaHei" w:eastAsia="Microsoft YaHei"/>
            <w:color w:val="2E74B5"/>
            <w:u w:val="single"/>
          </w:rPr>
          <w:t>Issue #102</w:t>
        </w:r>
      </w:hyperlink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七、问题处理与经验总结</w:t>
      </w:r>
    </w:p>
    <w:p>
      <w:pPr>
        <w:pStyle w:val="ListBullet"/>
        <w:spacing w:after="100" w:line="264" w:lineRule="auto"/>
      </w:pPr>
      <w:r>
        <w:rPr>
          <w:rFonts w:ascii="Microsoft YaHei" w:hAnsi="Microsoft YaHei" w:eastAsia="Microsoft YaHei"/>
          <w:sz w:val="22"/>
        </w:rPr>
        <w:t>批量导入不能只校验文件是否可读，还必须检查表头、业务引用、重复数据和数值边界。</w:t>
      </w:r>
    </w:p>
    <w:p>
      <w:pPr>
        <w:pStyle w:val="ListBullet"/>
        <w:spacing w:after="100" w:line="264" w:lineRule="auto"/>
      </w:pPr>
      <w:r>
        <w:rPr>
          <w:rFonts w:ascii="Microsoft YaHei" w:hAnsi="Microsoft YaHei" w:eastAsia="Microsoft YaHei"/>
          <w:sz w:val="22"/>
        </w:rPr>
        <w:t>多个相邻需求集中开发时，应共享校验和错误处理规则，但仍保留清晰的模块接口。</w:t>
      </w:r>
    </w:p>
    <w:p>
      <w:pPr>
        <w:pStyle w:val="ListBullet"/>
        <w:spacing w:after="100" w:line="264" w:lineRule="auto"/>
      </w:pPr>
      <w:r>
        <w:rPr>
          <w:rFonts w:ascii="Microsoft YaHei" w:hAnsi="Microsoft YaHei" w:eastAsia="Microsoft YaHei"/>
          <w:sz w:val="22"/>
        </w:rPr>
        <w:t>导出乱码问题说明跨平台字体不能依赖默认环境，应显式配置支持中文的字体资源。</w:t>
      </w:r>
    </w:p>
    <w:p>
      <w:pPr>
        <w:pStyle w:val="ListBullet"/>
        <w:spacing w:after="100" w:line="264" w:lineRule="auto"/>
      </w:pPr>
      <w:r>
        <w:rPr>
          <w:rFonts w:ascii="Microsoft YaHei" w:hAnsi="Microsoft YaHei" w:eastAsia="Microsoft YaHei"/>
          <w:sz w:val="22"/>
        </w:rPr>
        <w:t>提交前同时执行测试、构建和差异检查，能够提前发现后端回归、前端编译及格式问题。</w:t>
      </w:r>
    </w:p>
    <w:p>
      <w:pPr>
        <w:pStyle w:val="ListBullet"/>
        <w:spacing w:after="100" w:line="264" w:lineRule="auto"/>
      </w:pPr>
      <w:r>
        <w:rPr>
          <w:rFonts w:ascii="Microsoft YaHei" w:hAnsi="Microsoft YaHei" w:eastAsia="Microsoft YaHei"/>
          <w:sz w:val="22"/>
        </w:rPr>
        <w:t>AI 适合加速代码检索、重复实现和测试补充，但需求解释、业务边界与最终验收仍需人工负责。</w:t>
      </w: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八、下周计划</w:t>
      </w:r>
    </w:p>
    <w:p>
      <w:pPr>
        <w:pStyle w:val="ListBullet"/>
        <w:spacing w:after="100" w:line="264" w:lineRule="auto"/>
      </w:pPr>
      <w:r>
        <w:rPr>
          <w:rFonts w:ascii="Microsoft YaHei" w:hAnsi="Microsoft YaHei" w:eastAsia="Microsoft YaHei"/>
          <w:sz w:val="22"/>
        </w:rPr>
        <w:t>根据组长审核和实际使用反馈，继续补充批量导入的边界场景测试。</w:t>
      </w:r>
    </w:p>
    <w:p>
      <w:pPr>
        <w:pStyle w:val="ListBullet"/>
        <w:spacing w:after="100" w:line="264" w:lineRule="auto"/>
      </w:pPr>
      <w:r>
        <w:rPr>
          <w:rFonts w:ascii="Microsoft YaHei" w:hAnsi="Microsoft YaHei" w:eastAsia="Microsoft YaHei"/>
          <w:sz w:val="22"/>
        </w:rPr>
        <w:t>核对不同角色页面中的按钮权限和导入入口，避免越权或入口缺失。</w:t>
      </w:r>
    </w:p>
    <w:p>
      <w:pPr>
        <w:pStyle w:val="ListBullet"/>
        <w:spacing w:after="100" w:line="264" w:lineRule="auto"/>
      </w:pPr>
      <w:r>
        <w:rPr>
          <w:rFonts w:ascii="Microsoft YaHei" w:hAnsi="Microsoft YaHei" w:eastAsia="Microsoft YaHei"/>
          <w:sz w:val="22"/>
        </w:rPr>
        <w:t>整理本阶段开发文档与演示数据，为课程项目验收和汇报做准备。</w:t>
      </w:r>
    </w:p>
    <w:p>
      <w:pPr>
        <w:spacing w:before="280" w:after="0"/>
        <w:jc w:val="right"/>
      </w:pPr>
      <w:r>
        <w:rPr>
          <w:rFonts w:ascii="Microsoft YaHei" w:hAnsi="Microsoft YaHei" w:eastAsia="Microsoft YaHei"/>
          <w:i/>
          <w:color w:val="666666"/>
          <w:sz w:val="19"/>
        </w:rPr>
        <w:t>文档生成日期：2026 年 6 月 15 日</w:t>
      </w:r>
    </w:p>
    <w:sectPr w:rsidR="00FC693F" w:rsidRPr="0006063C" w:rsidSect="00034616">
      <w:pgSz w:w="12240" w:h="15840"/>
      <w:pgMar w:top="1152" w:right="1440" w:bottom="1152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8"/>
      </w:rPr>
      <w:t>AI 辅助开发工作文档 · 2026-06-15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6666"/>
        <w:sz w:val="18"/>
      </w:rPr>
      <w:t>开源软件通识 · 小组项目周工作记录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iconle/kaiyuan_soft/pull/114" TargetMode="External"/><Relationship Id="rId12" Type="http://schemas.openxmlformats.org/officeDocument/2006/relationships/hyperlink" Target="https://github.com/iconle/kaiyuan_soft/issues/95" TargetMode="External"/><Relationship Id="rId13" Type="http://schemas.openxmlformats.org/officeDocument/2006/relationships/hyperlink" Target="https://github.com/iconle/kaiyuan_soft/issues/100" TargetMode="External"/><Relationship Id="rId14" Type="http://schemas.openxmlformats.org/officeDocument/2006/relationships/hyperlink" Target="https://github.com/iconle/kaiyuan_soft/issues/101" TargetMode="External"/><Relationship Id="rId15" Type="http://schemas.openxmlformats.org/officeDocument/2006/relationships/hyperlink" Target="https://github.com/iconle/kaiyuan_soft/issues/1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AI辅助开发周工作文档</dc:title>
  <dc:subject>开源软件通识小组项目周报</dc:subject>
  <dc:creator>qjk</dc:creator>
  <cp:keywords>开源软件, OBE, AI辅助开发, 周工作文档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