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60" w:lineRule="auto"/>
        <w:contextualSpacing w:val="0"/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Ejemplos Angular 2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proyecto plantilla generado con “ng new ejemplo0001 --skip-install”. App Angular 2 mínima.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creación e integración de un componente de dos formas distintas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creación e integración de un servicio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ejemplo0004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reorganización del ejemplo0003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uso de asincronía mediante promesas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ejemplo0006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uso de asincronía mediante observables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ejemplo0007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acceso al servidor empleando promesas y un api simulada en memoria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ejemplo0008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acceso al servidor empleando observables y un api simulada en memoria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ejemplo0009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acceso a un api real empleando observables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reorganización del ejemplo0009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ejemplo0011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uso de estilos, enlace de propiedades y eventos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ejemplo0012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Integración de lo visto en ejemplo0011. Uso de Angular CLI para generar un componente nuevo: “ng generate component rating --flat”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ejemplo0013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creación de componentes reutilizables. Propiedades de tipo input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ejemplo0014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control de los templates html mediante el empleo de algunas directivas típicas.  Uso de Angular CLI para generar un componente nuevo: “ng generate component render”. Creación de directivas personalizadas: “ng g directive confirmar”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ejemplo0015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tubos (pipes) y tubos personalizados.  Uso de Angular CLI para generar un componente nuevo: “ng generate component testpipe” y un tubo personalizado:”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ng g pipe custompipe”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ejemplo0016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inclusión de elementos externos en componentes mediante ng-content.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Uso de Angular CLI para generar un componente nuevo: “ng g component testcontent”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ejemplo0017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plantillas, paso 1. Enlace entre propiedades en ambos sentidos (Two-way binding).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Uso de Angular CLI para generar componentes (“ng g component usuario-form) y clases: “ng g class usuario”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ejemplo0018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plantillas, paso 2. Validaciones basadas en el ejemplo0017. Envío condicional de formularios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ejemplo0019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modelos (Reactive Forms), paso 1. Creación de controles para el formulario.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Uso de Angular CLI para generar componentes (“ng g component login)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ejemplo0020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modelos (Reactive Forms), paso 2. Validaciones personalizadas y uso de FormBuilder, basado en el ejemplo0019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ejemplo0021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formularios basados en modelos (Reactive Forms), paso 3. Uso de servicios. Validación al enviar el formulario, basado en el ejemplo0020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ejemplo0022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introducción al uso de Routers. Aplicaciones de una sóla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ejemplo0023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Routers. Paso de parámetros entre componentes. Aplicaciones de una sóla página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ejemplo0024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condicional de Routers (Guards). Aplicaciones de una sóla página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ejemplo0025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Proyecto CRUD con Firebase, paso 1. Creación de la base de datos, configuración del proyecto e 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importación</w:t>
        </w:r>
      </w:hyperlink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 de algunos datos de prueba en la misma. Uso de la biblioteca de apoyo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angularfire2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ejemplo0026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Proyecto CRUD con Firebase, paso 2, basado en ejemplo0025. Operaciones CRUD, uso de estilos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ejemplo0027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creación de un proyecto que usa rutas con angular-cli: ng new ejemplo0027 --routing true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ejemplo0028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módulos, paso 1. Creación del proyecto sin módulos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ejemplo0029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módulos, paso 2. Sobre el proyecto ejemplo0028 creación y configuración de un módulo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24292e"/>
        </w:rPr>
      </w:pPr>
      <w:r w:rsidDel="00000000" w:rsidR="00000000" w:rsidRPr="00000000">
        <w:rPr>
          <w:rFonts w:ascii="Verdana" w:cs="Verdana" w:eastAsia="Verdana" w:hAnsi="Verdana"/>
          <w:color w:val="0000ff"/>
          <w:sz w:val="28"/>
          <w:szCs w:val="28"/>
          <w:rtl w:val="0"/>
        </w:rPr>
        <w:t xml:space="preserve">ejemplo0030</w:t>
      </w:r>
      <w:r w:rsidDel="00000000" w:rsidR="00000000" w:rsidRPr="00000000">
        <w:rPr>
          <w:rFonts w:ascii="Verdana" w:cs="Verdana" w:eastAsia="Verdana" w:hAnsi="Verdana"/>
          <w:color w:val="24292e"/>
          <w:rtl w:val="0"/>
        </w:rPr>
        <w:t xml:space="preserve">: uso de módulos, paso 3. Módulos “lazy loaded”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firebase/firebase-import" TargetMode="External"/><Relationship Id="rId6" Type="http://schemas.openxmlformats.org/officeDocument/2006/relationships/hyperlink" Target="https://github.com/angular/angularfire2" TargetMode="External"/></Relationships>
</file>