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RCFI Technology</w:t>
      </w:r>
    </w:p>
    <w:p>
      <w:pPr>
        <w:jc w:val="center"/>
      </w:pPr>
      <w:r>
        <w:rPr>
          <w:i/>
          <w:sz w:val="22"/>
        </w:rPr>
        <w:t>Healthcare Cybersecurity &amp; Digital Health Assurance</w:t>
      </w:r>
    </w:p>
    <w:p/>
    <w:p>
      <w:pPr>
        <w:spacing w:after="100"/>
      </w:pPr>
      <w:r>
        <w:t>RCFI Technology is a Nairobi-based digital trust company. We build and operate secure technology platforms for organisations across East Africa — including licensed digital signing and public key infrastructure (CertySign), governance platforms (Elano), and business operations systems (Prezio). We are CAK-licensed, ISO 27001 certified, and aligned with the Kenya Data Protection Act.</w:t>
      </w:r>
    </w:p>
    <w:p>
      <w:pPr>
        <w:spacing w:after="100"/>
      </w:pPr>
      <w:r>
        <w:t>We now offer independent security and privacy assurance for digital health platforms — helping health-tech vendors, hospitals, clinics, and public health programmes protect patient data and prove their systems are secure, compliant, and ready for clinical use.</w:t>
      </w:r>
    </w:p>
    <w:p>
      <w:pPr>
        <w:spacing w:before="160" w:after="60"/>
      </w:pPr>
      <w:r>
        <w:rPr>
          <w:b/>
          <w:sz w:val="22"/>
        </w:rPr>
        <w:t>What we do</w:t>
      </w:r>
    </w:p>
    <w:p>
      <w:pPr>
        <w:spacing w:after="100"/>
      </w:pPr>
      <w:r>
        <w:t>We assess and validate the security and privacy of digital health systems — including EMRs, hospital information systems, telemedicine platforms, patient portals, health APIs, mobile health apps, laboratory systems, and cloud-hosted patient data. Our work covers application and API security, cloud and infrastructure configuration, privacy and data protection alignment, clinical workflow access controls, and ongoing security advisory as your platform grows.</w:t>
      </w:r>
    </w:p>
    <w:p>
      <w:pPr>
        <w:spacing w:before="160" w:after="60"/>
      </w:pPr>
      <w:r>
        <w:rPr>
          <w:b/>
          <w:sz w:val="22"/>
        </w:rPr>
        <w:t>Who this is for</w:t>
      </w:r>
    </w:p>
    <w:p>
      <w:pPr>
        <w:spacing w:after="100"/>
      </w:pPr>
      <w:r>
        <w:t>Health-tech vendors preparing for procurement or scale-up. Hospitals and clinics protecting clinical systems. Public health programmes deploying at national or regional level. Software developers and integrators building on FHIR APIs, cloud services, or third-party health platforms.</w:t>
      </w:r>
    </w:p>
    <w:p>
      <w:pPr>
        <w:spacing w:before="160" w:after="60"/>
      </w:pPr>
      <w:r>
        <w:rPr>
          <w:b/>
          <w:sz w:val="22"/>
        </w:rPr>
        <w:t>How it works</w:t>
      </w:r>
    </w:p>
    <w:p>
      <w:pPr>
        <w:spacing w:after="100"/>
      </w:pPr>
      <w:r>
        <w:t>We start with a discovery conversation to understand your platform and what assurance you need. We scope the assessment together, conduct the agreed review and testing, deliver a clear prioritised report with remediation guidance, and re-test after critical issues are fixed. For deep technical validation and laboratory-grade testing, we work with accredited partners.</w:t>
      </w:r>
    </w:p>
    <w:p>
      <w:pPr>
        <w:spacing w:before="160" w:after="60"/>
      </w:pPr>
      <w:r>
        <w:rPr>
          <w:b/>
          <w:sz w:val="22"/>
        </w:rPr>
        <w:t>Our digital health partner — IntelliSOFT Consulting</w:t>
      </w:r>
    </w:p>
    <w:p>
      <w:pPr>
        <w:spacing w:after="100"/>
      </w:pPr>
      <w:r>
        <w:t>RCFI's healthcare practice is strengthened by a strategic partnership with IntelliSOFT Consulting Ltd (intellisoftkenya.com) — one of Kenya's most established digital health companies. Since 2009, IntelliSOFT has designed and delivered health information systems across East Africa, including eHospital (Bahmni), national HMIS platforms, laboratory systems, and health research infrastructure. Together, RCFI and IntelliSOFT combine cybersecurity assurance with deep clinical systems expertise — one trusted path from platform build to secure, clinical-grade operation.</w:t>
      </w:r>
    </w:p>
    <w:p>
      <w:pPr>
        <w:spacing w:before="160" w:after="60"/>
      </w:pPr>
      <w:r>
        <w:rPr>
          <w:b/>
          <w:sz w:val="22"/>
        </w:rPr>
        <w:t>Why RCFI</w:t>
      </w:r>
    </w:p>
    <w:p>
      <w:pPr>
        <w:spacing w:after="100"/>
      </w:pPr>
      <w:r>
        <w:t>Licensed digital trust operator. East Africa first — Kenyan regulation, Kenyan hosting, Kenyan healthcare realities. Clinical and technical expertise through our IntelliSOFT partnership. Practical outcomes — we help you fix real risks and go live with confidence.</w:t>
      </w:r>
    </w:p>
    <w:p>
      <w:pPr>
        <w:spacing w:before="160" w:after="60"/>
      </w:pPr>
      <w:r>
        <w:rPr>
          <w:b/>
          <w:sz w:val="22"/>
        </w:rPr>
        <w:t>Get in touch</w:t>
      </w:r>
    </w:p>
    <w:p>
      <w:pPr>
        <w:spacing w:after="100"/>
      </w:pPr>
      <w:r>
        <w:t>Book a meeting: meet.rcfi.co.ke  ·  Email: info@rcfi.co.ke  ·  Website: rcfi.co.ke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