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RCFI Technology — Website Content Brief</w:t>
      </w:r>
    </w:p>
    <w:p>
      <w:pPr>
        <w:jc w:val="center"/>
      </w:pPr>
      <w:r>
        <w:t>Healthcare &amp; Cybersecurity · Website V2</w:t>
      </w:r>
    </w:p>
    <w:p/>
    <w:p>
      <w:r>
        <w:t>This document maps PUBLIC website copy only to the existing website-v2 codebase (Next.js, src/components/home/*, src/pages/*). It does NOT include internal platform details, assessment workflows, or confidential partner programme information. Use this when updating pages — not as page content itself.</w:t>
      </w:r>
    </w:p>
    <w:p>
      <w:r>
        <w:t>Project path: website-v2/ · Dev: npm run dev → port 3015</w:t>
      </w:r>
    </w:p>
    <w:p>
      <w:r>
        <w:br w:type="page"/>
      </w:r>
    </w:p>
    <w:p>
      <w:pPr>
        <w:pStyle w:val="Heading1"/>
      </w:pPr>
      <w:r>
        <w:t>1. What stays vs what we add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Existing products (CertySign, Elano, Prezio)</w:t>
            </w:r>
          </w:p>
        </w:tc>
        <w:tc>
          <w:tcPr>
            <w:tcW w:type="dxa" w:w="2880"/>
          </w:tcPr>
          <w:p>
            <w:r>
              <w:t>Keep</w:t>
            </w:r>
          </w:p>
        </w:tc>
        <w:tc>
          <w:tcPr>
            <w:tcW w:type="dxa" w:w="2880"/>
          </w:tcPr>
          <w:p>
            <w:r>
              <w:t>No change to product pages unless minor cross-link</w:t>
            </w:r>
          </w:p>
        </w:tc>
      </w:tr>
      <w:tr>
        <w:tc>
          <w:tcPr>
            <w:tcW w:type="dxa" w:w="2880"/>
          </w:tcPr>
          <w:p>
            <w:r>
              <w:t>Hero, Services, Industries, Partners</w:t>
            </w:r>
          </w:p>
        </w:tc>
        <w:tc>
          <w:tcPr>
            <w:tcW w:type="dxa" w:w="2880"/>
          </w:tcPr>
          <w:p>
            <w:r>
              <w:t>Update copy + add healthcare</w:t>
            </w:r>
          </w:p>
        </w:tc>
        <w:tc>
          <w:tcPr>
            <w:tcW w:type="dxa" w:w="2880"/>
          </w:tcPr>
          <w:p>
            <w:r>
              <w:t>See sections below</w:t>
            </w:r>
          </w:p>
        </w:tc>
      </w:tr>
      <w:tr>
        <w:tc>
          <w:tcPr>
            <w:tcW w:type="dxa" w:w="2880"/>
          </w:tcPr>
          <w:p>
            <w:r>
              <w:t>New public theme</w:t>
            </w:r>
          </w:p>
        </w:tc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Healthcare &amp; cybersecurity — short, professional, no technical jargon</w:t>
            </w:r>
          </w:p>
        </w:tc>
      </w:tr>
      <w:tr>
        <w:tc>
          <w:tcPr>
            <w:tcW w:type="dxa" w:w="2880"/>
          </w:tcPr>
          <w:p>
            <w:r>
              <w:t>IntelliSOFT partnership</w:t>
            </w:r>
          </w:p>
        </w:tc>
        <w:tc>
          <w:tcPr>
            <w:tcW w:type="dxa" w:w="2880"/>
          </w:tcPr>
          <w:p>
            <w:r>
              <w:t>Add to Partners + one homepage band</w:t>
            </w:r>
          </w:p>
        </w:tc>
        <w:tc>
          <w:tcPr>
            <w:tcW w:type="dxa" w:w="2880"/>
          </w:tcPr>
          <w:p>
            <w:r>
              <w:t>Public partner only — link to intellisoftkenya.com</w:t>
            </w:r>
          </w:p>
        </w:tc>
      </w:tr>
      <w:tr>
        <w:tc>
          <w:tcPr>
            <w:tcW w:type="dxa" w:w="2880"/>
          </w:tcPr>
          <w:p>
            <w:r>
              <w:t>Internal VAPT / assessment platform</w:t>
            </w:r>
          </w:p>
        </w:tc>
        <w:tc>
          <w:tcPr>
            <w:tcW w:type="dxa" w:w="2880"/>
          </w:tcPr>
          <w:p>
            <w:r>
              <w:t>Do NOT put on website</w:t>
            </w:r>
          </w:p>
        </w:tc>
        <w:tc>
          <w:tcPr>
            <w:tcW w:type="dxa" w:w="2880"/>
          </w:tcPr>
          <w:p>
            <w:r>
              <w:t>Sales conversation + separate product site later if needed</w:t>
            </w:r>
          </w:p>
        </w:tc>
      </w:tr>
      <w:tr>
        <w:tc>
          <w:tcPr>
            <w:tcW w:type="dxa" w:w="2880"/>
          </w:tcPr>
          <w:p>
            <w:r>
              <w:t>Any government agency names</w:t>
            </w:r>
          </w:p>
        </w:tc>
        <w:tc>
          <w:tcPr>
            <w:tcW w:type="dxa" w:w="2880"/>
          </w:tcPr>
          <w:p>
            <w:r>
              <w:t>Do NOT use</w:t>
            </w:r>
          </w:p>
        </w:tc>
        <w:tc>
          <w:tcPr>
            <w:tcW w:type="dxa" w:w="2880"/>
          </w:tcPr>
          <w:p>
            <w:r>
              <w:t>Say "public sector", "national health programmes", "regulators"</w:t>
            </w:r>
          </w:p>
        </w:tc>
      </w:tr>
    </w:tbl>
    <w:p/>
    <w:p>
      <w:pPr>
        <w:pStyle w:val="Heading1"/>
      </w:pPr>
      <w:r>
        <w:t>2. Page &amp; component map (website-v2)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URL / file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What to change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src/pages/index.jsx</w:t>
            </w:r>
          </w:p>
        </w:tc>
        <w:tc>
          <w:tcPr>
            <w:tcW w:type="dxa" w:w="2880"/>
          </w:tcPr>
          <w:p>
            <w:r>
              <w:t>Composes home sections — edit child components below</w:t>
            </w:r>
          </w:p>
        </w:tc>
      </w:tr>
      <w:tr>
        <w:tc>
          <w:tcPr>
            <w:tcW w:type="dxa" w:w="2880"/>
          </w:tcPr>
          <w:p>
            <w:r>
              <w:t>Hero</w:t>
            </w:r>
          </w:p>
        </w:tc>
        <w:tc>
          <w:tcPr>
            <w:tcW w:type="dxa" w:w="2880"/>
          </w:tcPr>
          <w:p>
            <w:r>
              <w:t>src/components/home/Hero.jsx</w:t>
            </w:r>
          </w:p>
        </w:tc>
        <w:tc>
          <w:tcPr>
            <w:tcW w:type="dxa" w:w="2880"/>
          </w:tcPr>
          <w:p>
            <w:r>
              <w:t>Optional: add healthcare line in subtext OR keep current trust-layer message</w:t>
            </w:r>
          </w:p>
        </w:tc>
      </w:tr>
      <w:tr>
        <w:tc>
          <w:tcPr>
            <w:tcW w:type="dxa" w:w="2880"/>
          </w:tcPr>
          <w:p>
            <w:r>
              <w:t>Partners</w:t>
            </w:r>
          </w:p>
        </w:tc>
        <w:tc>
          <w:tcPr>
            <w:tcW w:type="dxa" w:w="2880"/>
          </w:tcPr>
          <w:p>
            <w:r>
              <w:t>src/components/home/Partners.jsx + src/lib/theme.js → partners[]</w:t>
            </w:r>
          </w:p>
        </w:tc>
        <w:tc>
          <w:tcPr>
            <w:tcW w:type="dxa" w:w="2880"/>
          </w:tcPr>
          <w:p>
            <w:r>
              <w:t>Add IntelliSOFT logo + name to marquee</w:t>
            </w:r>
          </w:p>
        </w:tc>
      </w:tr>
      <w:tr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src/components/home/Products.jsx</w:t>
            </w:r>
          </w:p>
        </w:tc>
        <w:tc>
          <w:tcPr>
            <w:tcW w:type="dxa" w:w="2880"/>
          </w:tcPr>
          <w:p>
            <w:r>
              <w:t>No change required</w:t>
            </w:r>
          </w:p>
        </w:tc>
      </w:tr>
      <w:tr>
        <w:tc>
          <w:tcPr>
            <w:tcW w:type="dxa" w:w="2880"/>
          </w:tcPr>
          <w:p>
            <w:r>
              <w:t>Why RCFI</w:t>
            </w:r>
          </w:p>
        </w:tc>
        <w:tc>
          <w:tcPr>
            <w:tcW w:type="dxa" w:w="2880"/>
          </w:tcPr>
          <w:p>
            <w:r>
              <w:t>src/components/home/WhyRCFI.jsx</w:t>
            </w:r>
          </w:p>
        </w:tc>
        <w:tc>
          <w:tcPr>
            <w:tcW w:type="dxa" w:w="2880"/>
          </w:tcPr>
          <w:p>
            <w:r>
              <w:t>Add bullet: healthcare &amp; cyber expertise</w:t>
            </w:r>
          </w:p>
        </w:tc>
      </w:tr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src/components/home/Services.jsx</w:t>
            </w:r>
          </w:p>
        </w:tc>
        <w:tc>
          <w:tcPr>
            <w:tcW w:type="dxa" w:w="2880"/>
          </w:tcPr>
          <w:p>
            <w:r>
              <w:t>Add 4th card: Healthcare Cybersecurity (or new section)</w:t>
            </w:r>
          </w:p>
        </w:tc>
      </w:tr>
      <w:tr>
        <w:tc>
          <w:tcPr>
            <w:tcW w:type="dxa" w:w="2880"/>
          </w:tcPr>
          <w:p>
            <w:r>
              <w:t>Industries</w:t>
            </w:r>
          </w:p>
        </w:tc>
        <w:tc>
          <w:tcPr>
            <w:tcW w:type="dxa" w:w="2880"/>
          </w:tcPr>
          <w:p>
            <w:r>
              <w:t>src/components/home/Industries.jsx</w:t>
            </w:r>
          </w:p>
        </w:tc>
        <w:tc>
          <w:tcPr>
            <w:tcW w:type="dxa" w:w="2880"/>
          </w:tcPr>
          <w:p>
            <w:r>
              <w:t>Add card: Healthcare &amp; Digital Health</w:t>
            </w:r>
          </w:p>
        </w:tc>
      </w:tr>
      <w:tr>
        <w:tc>
          <w:tcPr>
            <w:tcW w:type="dxa" w:w="2880"/>
          </w:tcPr>
          <w:p>
            <w:r>
              <w:t>Impact / FinalCTA</w:t>
            </w:r>
          </w:p>
        </w:tc>
        <w:tc>
          <w:tcPr>
            <w:tcW w:type="dxa" w:w="2880"/>
          </w:tcPr>
          <w:p>
            <w:r>
              <w:t>src/components/home/FinalCTA.jsx</w:t>
            </w:r>
          </w:p>
        </w:tc>
        <w:tc>
          <w:tcPr>
            <w:tcW w:type="dxa" w:w="2880"/>
          </w:tcPr>
          <w:p>
            <w:r>
              <w:t>Optional CTA: "Secure your health platform"</w:t>
            </w:r>
          </w:p>
        </w:tc>
      </w:tr>
      <w:tr>
        <w:tc>
          <w:tcPr>
            <w:tcW w:type="dxa" w:w="2880"/>
          </w:tcPr>
          <w:p>
            <w:r>
              <w:t>/about</w:t>
            </w:r>
          </w:p>
        </w:tc>
        <w:tc>
          <w:tcPr>
            <w:tcW w:type="dxa" w:w="2880"/>
          </w:tcPr>
          <w:p>
            <w:r>
              <w:t>src/pages/about/index.jsx</w:t>
            </w:r>
          </w:p>
        </w:tc>
        <w:tc>
          <w:tcPr>
            <w:tcW w:type="dxa" w:w="2880"/>
          </w:tcPr>
          <w:p>
            <w:r>
              <w:t>Add paragraph on healthcare + IntelliSOFT partnership</w:t>
            </w:r>
          </w:p>
        </w:tc>
      </w:tr>
      <w:tr>
        <w:tc>
          <w:tcPr>
            <w:tcW w:type="dxa" w:w="2880"/>
          </w:tcPr>
          <w:p>
            <w:r>
              <w:t>/contact</w:t>
            </w:r>
          </w:p>
        </w:tc>
        <w:tc>
          <w:tcPr>
            <w:tcW w:type="dxa" w:w="2880"/>
          </w:tcPr>
          <w:p>
            <w:r>
              <w:t>src/pages/contact/index.jsx</w:t>
            </w:r>
          </w:p>
        </w:tc>
        <w:tc>
          <w:tcPr>
            <w:tcW w:type="dxa" w:w="2880"/>
          </w:tcPr>
          <w:p>
            <w:r>
              <w:t>Add inquiry type: Healthcare / Cybersecurity</w:t>
            </w:r>
          </w:p>
        </w:tc>
      </w:tr>
      <w:tr>
        <w:tc>
          <w:tcPr>
            <w:tcW w:type="dxa" w:w="2880"/>
          </w:tcPr>
          <w:p>
            <w:r>
              <w:t>NEW (optional)</w:t>
            </w:r>
          </w:p>
        </w:tc>
        <w:tc>
          <w:tcPr>
            <w:tcW w:type="dxa" w:w="2880"/>
          </w:tcPr>
          <w:p>
            <w:r>
              <w:t>src/pages/healthcare/index.jsx</w:t>
            </w:r>
          </w:p>
        </w:tc>
        <w:tc>
          <w:tcPr>
            <w:tcW w:type="dxa" w:w="2880"/>
          </w:tcPr>
          <w:p>
            <w:r>
              <w:t>Dedicated page — recommended if service grows</w:t>
            </w:r>
          </w:p>
        </w:tc>
      </w:tr>
      <w:tr>
        <w:tc>
          <w:tcPr>
            <w:tcW w:type="dxa" w:w="2880"/>
          </w:tcPr>
          <w:p>
            <w:r>
              <w:t>Header nav</w:t>
            </w:r>
          </w:p>
        </w:tc>
        <w:tc>
          <w:tcPr>
            <w:tcW w:type="dxa" w:w="2880"/>
          </w:tcPr>
          <w:p>
            <w:r>
              <w:t>src/components/layout/Header.jsx</w:t>
            </w:r>
          </w:p>
        </w:tc>
        <w:tc>
          <w:tcPr>
            <w:tcW w:type="dxa" w:w="2880"/>
          </w:tcPr>
          <w:p>
            <w:r>
              <w:t>Optional nav link: Healthcare</w:t>
            </w:r>
          </w:p>
        </w:tc>
      </w:tr>
    </w:tbl>
    <w:p/>
    <w:p>
      <w:r>
        <w:br w:type="page"/>
      </w:r>
    </w:p>
    <w:p>
      <w:pPr>
        <w:pStyle w:val="Heading1"/>
      </w:pPr>
      <w:r>
        <w:t>3. Public messaging — keep it short</w:t>
      </w:r>
    </w:p>
    <w:p>
      <w:r>
        <w:t>Website visitors are buyers, partners, and press — not engineers. Three sentences max per block. No module lists. No intake forms on the marketing site.</w:t>
      </w:r>
    </w:p>
    <w:p>
      <w:pPr>
        <w:pStyle w:val="Heading2"/>
      </w:pPr>
      <w:r>
        <w:t>3.1 Company positioning (one paragraph — About + meta)</w:t>
      </w:r>
    </w:p>
    <w:p>
      <w:r>
        <w:t>RCFI Technology builds digital trust infrastructure for Africa — from licensed PKI and document signing to secure software and healthcare cybersecurity. We help hospitals, health-tech companies, and public health programmes protect patient data and prove their systems are fit for clinical use, in partnership with leading digital health specialists.</w:t>
      </w:r>
    </w:p>
    <w:p>
      <w:pPr>
        <w:pStyle w:val="Heading2"/>
      </w:pPr>
      <w:r>
        <w:t>3.2 Healthcare &amp; cybersecurity service (public 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Suggested public copy</w:t>
            </w:r>
          </w:p>
        </w:tc>
      </w:tr>
      <w:tr>
        <w:tc>
          <w:tcPr>
            <w:tcW w:type="dxa" w:w="4320"/>
          </w:tcPr>
          <w:p>
            <w:r>
              <w:t>Service name</w:t>
            </w:r>
          </w:p>
        </w:tc>
        <w:tc>
          <w:tcPr>
            <w:tcW w:type="dxa" w:w="4320"/>
          </w:tcPr>
          <w:p>
            <w:r>
              <w:t>Healthcare Cybersecurity &amp; Digital Health Assurance</w:t>
            </w:r>
          </w:p>
        </w:tc>
      </w:tr>
      <w:tr>
        <w:tc>
          <w:tcPr>
            <w:tcW w:type="dxa" w:w="4320"/>
          </w:tcPr>
          <w:p>
            <w:r>
              <w:t>One-liner</w:t>
            </w:r>
          </w:p>
        </w:tc>
        <w:tc>
          <w:tcPr>
            <w:tcW w:type="dxa" w:w="4320"/>
          </w:tcPr>
          <w:p>
            <w:r>
              <w:t>Independent security assurance for EMRs, telemedicine, health apps, and national health systems.</w:t>
            </w:r>
          </w:p>
        </w:tc>
      </w:tr>
      <w:tr>
        <w:tc>
          <w:tcPr>
            <w:tcW w:type="dxa" w:w="4320"/>
          </w:tcPr>
          <w:p>
            <w:r>
              <w:t>Short body (Services card)</w:t>
            </w:r>
          </w:p>
        </w:tc>
        <w:tc>
          <w:tcPr>
            <w:tcW w:type="dxa" w:w="4320"/>
          </w:tcPr>
          <w:p>
            <w:r>
              <w:t>We help digital health vendors and healthcare organisations validate security, privacy, and resilience — from cloud posture to clinical workflows — working with accredited testing partners across East Africa.</w:t>
            </w:r>
          </w:p>
        </w:tc>
      </w:tr>
      <w:tr>
        <w:tc>
          <w:tcPr>
            <w:tcW w:type="dxa" w:w="4320"/>
          </w:tcPr>
          <w:p>
            <w:r>
              <w:t>What we do (3 bullets)</w:t>
            </w:r>
          </w:p>
        </w:tc>
        <w:tc>
          <w:tcPr>
            <w:tcW w:type="dxa" w:w="4320"/>
          </w:tcPr>
          <w:p>
            <w:r>
              <w:t>• Security assessment for health platforms and APIs</w:t>
              <w:br/>
              <w:t>• Privacy &amp; data protection alignment (Kenya DPA)</w:t>
              <w:br/>
              <w:t>• Partnership with IntelliSOFT for digital health systems expertise and laboratory testing</w:t>
            </w:r>
          </w:p>
        </w:tc>
      </w:tr>
      <w:tr>
        <w:tc>
          <w:tcPr>
            <w:tcW w:type="dxa" w:w="4320"/>
          </w:tcPr>
          <w:p>
            <w:r>
              <w:t>What we do NOT say on web</w:t>
            </w:r>
          </w:p>
        </w:tc>
        <w:tc>
          <w:tcPr>
            <w:tcW w:type="dxa" w:w="4320"/>
          </w:tcPr>
          <w:p>
            <w:r>
              <w:t>No pentest checklists · No asset registers · No Sovereign Cyber internals · No certification body names</w:t>
            </w:r>
          </w:p>
        </w:tc>
      </w:tr>
      <w:tr>
        <w:tc>
          <w:tcPr>
            <w:tcW w:type="dxa" w:w="4320"/>
          </w:tcPr>
          <w:p>
            <w:r>
              <w:t>CTA</w:t>
            </w:r>
          </w:p>
        </w:tc>
        <w:tc>
          <w:tcPr>
            <w:tcW w:type="dxa" w:w="4320"/>
          </w:tcPr>
          <w:p>
            <w:r>
              <w:t>Talk to us → /contact</w:t>
            </w:r>
          </w:p>
        </w:tc>
      </w:tr>
    </w:tbl>
    <w:p/>
    <w:p>
      <w:pPr>
        <w:pStyle w:val="Heading2"/>
      </w:pPr>
      <w:r>
        <w:t>3.3 IntelliSOFT partnership (public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Copy for website</w:t>
            </w:r>
          </w:p>
        </w:tc>
      </w:tr>
      <w:tr>
        <w:tc>
          <w:tcPr>
            <w:tcW w:type="dxa" w:w="4320"/>
          </w:tcPr>
          <w:p>
            <w:r>
              <w:t>Partner name</w:t>
            </w:r>
          </w:p>
        </w:tc>
        <w:tc>
          <w:tcPr>
            <w:tcW w:type="dxa" w:w="4320"/>
          </w:tcPr>
          <w:p>
            <w:r>
              <w:t>IntelliSOFT Consulting Ltd</w:t>
            </w:r>
          </w:p>
        </w:tc>
      </w:tr>
      <w:tr>
        <w:tc>
          <w:tcPr>
            <w:tcW w:type="dxa" w:w="4320"/>
          </w:tcPr>
          <w:p>
            <w:r>
              <w:t>Partner URL</w:t>
            </w:r>
          </w:p>
        </w:tc>
        <w:tc>
          <w:tcPr>
            <w:tcW w:type="dxa" w:w="4320"/>
          </w:tcPr>
          <w:p>
            <w:r>
              <w:t>https://www.intellisoftkenya.com/</w:t>
            </w:r>
          </w:p>
        </w:tc>
      </w:tr>
      <w:tr>
        <w:tc>
          <w:tcPr>
            <w:tcW w:type="dxa" w:w="4320"/>
          </w:tcPr>
          <w:p>
            <w:r>
              <w:t>One-line</w:t>
            </w:r>
          </w:p>
        </w:tc>
        <w:tc>
          <w:tcPr>
            <w:tcW w:type="dxa" w:w="4320"/>
          </w:tcPr>
          <w:p>
            <w:r>
              <w:t>Strategic partner for digital health systems and accredited security testing in Kenya.</w:t>
            </w:r>
          </w:p>
        </w:tc>
      </w:tr>
      <w:tr>
        <w:tc>
          <w:tcPr>
            <w:tcW w:type="dxa" w:w="4320"/>
          </w:tcPr>
          <w:p>
            <w:r>
              <w:t>Longer (About / Healthcare page)</w:t>
            </w:r>
          </w:p>
        </w:tc>
        <w:tc>
          <w:tcPr>
            <w:tcW w:type="dxa" w:w="4320"/>
          </w:tcPr>
          <w:p>
            <w:r>
              <w:t>IntelliSOFT has designed and delivered health information systems across Kenya since 2009 — including eHospital (Bahmni), national HMIS, and health research platforms. Together, RCFI and IntelliSOFT combine cybersecurity assurance with deep clinical systems expertise so health-tech vendors and facilities get one trusted path from build to secure operation.</w:t>
            </w:r>
          </w:p>
        </w:tc>
      </w:tr>
      <w:tr>
        <w:tc>
          <w:tcPr>
            <w:tcW w:type="dxa" w:w="4320"/>
          </w:tcPr>
          <w:p>
            <w:r>
              <w:t>Public facts you may cite</w:t>
            </w:r>
          </w:p>
        </w:tc>
        <w:tc>
          <w:tcPr>
            <w:tcW w:type="dxa" w:w="4320"/>
          </w:tcPr>
          <w:p>
            <w:r>
              <w:t>15+ years in digital health · eHospital / EMR · Lab systems · FHIR &amp; open standards · AI in healthcare · East Africa focus</w:t>
            </w:r>
          </w:p>
        </w:tc>
      </w:tr>
      <w:tr>
        <w:tc>
          <w:tcPr>
            <w:tcW w:type="dxa" w:w="4320"/>
          </w:tcPr>
          <w:p>
            <w:r>
              <w:t>Logo</w:t>
            </w:r>
          </w:p>
        </w:tc>
        <w:tc>
          <w:tcPr>
            <w:tcW w:type="dxa" w:w="4320"/>
          </w:tcPr>
          <w:p>
            <w:r>
              <w:t>Request partner logo for public/images/partners/intellisoft.png</w:t>
            </w:r>
          </w:p>
        </w:tc>
      </w:tr>
    </w:tbl>
    <w:p/>
    <w:p>
      <w:r>
        <w:br w:type="page"/>
      </w:r>
    </w:p>
    <w:p>
      <w:pPr>
        <w:pStyle w:val="Heading1"/>
      </w:pPr>
      <w:r>
        <w:t>4. Section-by-section copy (paste into components)</w:t>
      </w:r>
    </w:p>
    <w:p>
      <w:pPr>
        <w:pStyle w:val="Heading2"/>
      </w:pPr>
      <w:r>
        <w:t>4.1 Services.jsx — add 4th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badge</w:t>
            </w:r>
          </w:p>
        </w:tc>
        <w:tc>
          <w:tcPr>
            <w:tcW w:type="dxa" w:w="4320"/>
          </w:tcPr>
          <w:p>
            <w:r>
              <w:t>AVAILABLE</w:t>
            </w:r>
          </w:p>
        </w:tc>
      </w:tr>
      <w:tr>
        <w:tc>
          <w:tcPr>
            <w:tcW w:type="dxa" w:w="4320"/>
          </w:tcPr>
          <w:p>
            <w:r>
              <w:t>badgeColor / badgeBg</w:t>
            </w:r>
          </w:p>
        </w:tc>
        <w:tc>
          <w:tcPr>
            <w:tcW w:type="dxa" w:w="4320"/>
          </w:tcPr>
          <w:p>
            <w:r>
              <w:t>#235e43 / #E8F5EE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Healthcare Cybersecurity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Security and privacy assurance for digital health platforms — EMRs, telemedicine, APIs, and cloud-hosted health data. Delivered with our digital health laboratory partner.</w:t>
            </w:r>
          </w:p>
        </w:tc>
      </w:tr>
      <w:tr>
        <w:tc>
          <w:tcPr>
            <w:tcW w:type="dxa" w:w="4320"/>
          </w:tcPr>
          <w:p>
            <w:r>
              <w:t>href</w:t>
            </w:r>
          </w:p>
        </w:tc>
        <w:tc>
          <w:tcPr>
            <w:tcW w:type="dxa" w:w="4320"/>
          </w:tcPr>
          <w:p>
            <w:r>
              <w:t>/contact (or /healthcare when page exists)</w:t>
            </w:r>
          </w:p>
        </w:tc>
      </w:tr>
      <w:tr>
        <w:tc>
          <w:tcPr>
            <w:tcW w:type="dxa" w:w="4320"/>
          </w:tcPr>
          <w:p>
            <w:r>
              <w:t>cta</w:t>
            </w:r>
          </w:p>
        </w:tc>
        <w:tc>
          <w:tcPr>
            <w:tcW w:type="dxa" w:w="4320"/>
          </w:tcPr>
          <w:p>
            <w:r>
              <w:t>Discuss your platform</w:t>
            </w:r>
          </w:p>
        </w:tc>
      </w:tr>
    </w:tbl>
    <w:p/>
    <w:p>
      <w:pPr>
        <w:pStyle w:val="Heading2"/>
      </w:pPr>
      <w:r>
        <w:t>4.2 Industries.jsx — add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Healthcare &amp; Digital Health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EMRs, telemedicine, registries, HIE, and health apps — secured and assured for clinical use.</w:t>
            </w:r>
          </w:p>
        </w:tc>
      </w:tr>
      <w:tr>
        <w:tc>
          <w:tcPr>
            <w:tcW w:type="dxa" w:w="4320"/>
          </w:tcPr>
          <w:p>
            <w:r>
              <w:t>meta</w:t>
            </w:r>
          </w:p>
        </w:tc>
        <w:tc>
          <w:tcPr>
            <w:tcW w:type="dxa" w:w="4320"/>
          </w:tcPr>
          <w:p>
            <w:r>
              <w:t>Vendors · hospitals · national programmes</w:t>
            </w:r>
          </w:p>
        </w:tc>
      </w:tr>
    </w:tbl>
    <w:p/>
    <w:p>
      <w:pPr>
        <w:pStyle w:val="Heading2"/>
      </w:pPr>
      <w:r>
        <w:t>4.3 WhyRCFI.jsx — add 5th reason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body</w:t>
            </w:r>
          </w:p>
        </w:tc>
      </w:tr>
      <w:tr>
        <w:tc>
          <w:tcPr>
            <w:tcW w:type="dxa" w:w="4320"/>
          </w:tcPr>
          <w:p>
            <w:r>
              <w:t>Healthcare-ready security</w:t>
            </w:r>
          </w:p>
        </w:tc>
        <w:tc>
          <w:tcPr>
            <w:tcW w:type="dxa" w:w="4320"/>
          </w:tcPr>
          <w:p>
            <w:r>
              <w:t>We understand clinical workflows, patient data, and health-sector regulation — not just generic IT security.</w:t>
            </w:r>
          </w:p>
        </w:tc>
      </w:tr>
    </w:tbl>
    <w:p/>
    <w:p>
      <w:pPr>
        <w:pStyle w:val="Heading2"/>
      </w:pPr>
      <w:r>
        <w:t>4.4 Partners section — add partner entry</w:t>
      </w:r>
    </w:p>
    <w:p>
      <w:r>
        <w:t>In src/lib/theme.js → partners array, add:</w:t>
      </w:r>
    </w:p>
    <w:p>
      <w:r>
        <w:t>{ name: 'IntelliSOFT Consulting', src: '/images/partners/intellisoft.png' }</w:t>
      </w:r>
    </w:p>
    <w:p>
      <w:pPr>
        <w:pStyle w:val="Heading2"/>
      </w:pPr>
      <w:r>
        <w:t>4.5 Optional new page: /healthcare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Headline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Body copy</w:t>
            </w:r>
          </w:p>
        </w:tc>
      </w:tr>
      <w:tr>
        <w:tc>
          <w:tcPr>
            <w:tcW w:type="dxa" w:w="2880"/>
          </w:tcPr>
          <w:p>
            <w:r>
              <w:t>Hero</w:t>
            </w:r>
          </w:p>
        </w:tc>
        <w:tc>
          <w:tcPr>
            <w:tcW w:type="dxa" w:w="2880"/>
          </w:tcPr>
          <w:p>
            <w:r>
              <w:t>Secure the systems that deliver care</w:t>
            </w:r>
          </w:p>
        </w:tc>
        <w:tc>
          <w:tcPr>
            <w:tcW w:type="dxa" w:w="2880"/>
          </w:tcPr>
          <w:p>
            <w:r>
              <w:t>RCFI helps health-tech vendors and healthcare organisations prove their platforms are safe, compliant, and ready for patients — with independent assurance and East Africa's leading digital health expertise.</w:t>
            </w:r>
          </w:p>
        </w:tc>
      </w:tr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Health data is sensitive. Trust must be earned.</w:t>
            </w:r>
          </w:p>
        </w:tc>
        <w:tc>
          <w:tcPr>
            <w:tcW w:type="dxa" w:w="2880"/>
          </w:tcPr>
          <w:p>
            <w:r>
              <w:t>Patients, clinicians, and regulators need more than a checkbox — they need evidence that your EMR, app, or API is built and operated securely.</w:t>
            </w:r>
          </w:p>
        </w:tc>
      </w:tr>
      <w:tr>
        <w:tc>
          <w:tcPr>
            <w:tcW w:type="dxa" w:w="2880"/>
          </w:tcPr>
          <w:p>
            <w:r>
              <w:t>What we offer</w:t>
            </w:r>
          </w:p>
        </w:tc>
        <w:tc>
          <w:tcPr>
            <w:tcW w:type="dxa" w:w="2880"/>
          </w:tcPr>
          <w:p>
            <w:r>
              <w:t>Assurance, not guesswork</w:t>
            </w:r>
          </w:p>
        </w:tc>
        <w:tc>
          <w:tcPr>
            <w:tcW w:type="dxa" w:w="2880"/>
          </w:tcPr>
          <w:p>
            <w:r>
              <w:t>Privacy alignment · Cloud &amp; API security review · Clinical workflow risk · Partner-led laboratory testing · Ongoing monitoring options</w:t>
            </w:r>
          </w:p>
        </w:tc>
      </w:tr>
      <w:tr>
        <w:tc>
          <w:tcPr>
            <w:tcW w:type="dxa" w:w="2880"/>
          </w:tcPr>
          <w:p>
            <w:r>
              <w:t>Partner band</w:t>
            </w:r>
          </w:p>
        </w:tc>
        <w:tc>
          <w:tcPr>
            <w:tcW w:type="dxa" w:w="2880"/>
          </w:tcPr>
          <w:p>
            <w:r>
              <w:t>Built with IntelliSOFT</w:t>
            </w:r>
          </w:p>
        </w:tc>
        <w:tc>
          <w:tcPr>
            <w:tcW w:type="dxa" w:w="2880"/>
          </w:tcPr>
          <w:p>
            <w:r>
              <w:t>Use partnership paragraph from section 3.3</w:t>
            </w:r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Start a conversation</w:t>
            </w:r>
          </w:p>
        </w:tc>
        <w:tc>
          <w:tcPr>
            <w:tcW w:type="dxa" w:w="2880"/>
          </w:tcPr>
          <w:p>
            <w:r>
              <w:t>Book a Meeting (meet.rcfi.co.ke) · Contact form</w:t>
            </w:r>
          </w:p>
        </w:tc>
      </w:tr>
    </w:tbl>
    <w:p/>
    <w:p>
      <w:r>
        <w:br w:type="page"/>
      </w:r>
    </w:p>
    <w:p>
      <w:pPr>
        <w:pStyle w:val="Heading1"/>
      </w:pPr>
      <w:r>
        <w:t>5. Contact form — add inquiry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Options to add</w:t>
            </w:r>
          </w:p>
        </w:tc>
      </w:tr>
      <w:tr>
        <w:tc>
          <w:tcPr>
            <w:tcW w:type="dxa" w:w="4320"/>
          </w:tcPr>
          <w:p>
            <w:r>
              <w:t>Inquiry type (dropdown)</w:t>
            </w:r>
          </w:p>
        </w:tc>
        <w:tc>
          <w:tcPr>
            <w:tcW w:type="dxa" w:w="4320"/>
          </w:tcPr>
          <w:p>
            <w:r>
              <w:t>General · CertySign · Elano · Prezio · Healthcare / Cybersecurity · Partnership · Careers</w:t>
            </w:r>
          </w:p>
        </w:tc>
      </w:tr>
    </w:tbl>
    <w:p/>
    <w:p>
      <w:pPr>
        <w:pStyle w:val="Heading1"/>
      </w:pPr>
      <w:r>
        <w:t>6. SEO (public meta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Title tag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Meta description</w:t>
            </w:r>
          </w:p>
        </w:tc>
      </w:tr>
      <w:tr>
        <w:tc>
          <w:tcPr>
            <w:tcW w:type="dxa" w:w="2880"/>
          </w:tcPr>
          <w:p>
            <w:r>
              <w:t>Home (optional tweak)</w:t>
            </w:r>
          </w:p>
        </w:tc>
        <w:tc>
          <w:tcPr>
            <w:tcW w:type="dxa" w:w="2880"/>
          </w:tcPr>
          <w:p>
            <w:r>
              <w:t>RCFI Technology — Digital Trust, PKI &amp; Healthcare Cybersecurity | Kenya</w:t>
            </w:r>
          </w:p>
        </w:tc>
        <w:tc>
          <w:tcPr>
            <w:tcW w:type="dxa" w:w="2880"/>
          </w:tcPr>
          <w:p>
            <w:r>
              <w:t>Licensed PKI, digital signing, governance platforms, and healthcare cybersecurity for East Africa.</w:t>
            </w:r>
          </w:p>
        </w:tc>
      </w:tr>
      <w:tr>
        <w:tc>
          <w:tcPr>
            <w:tcW w:type="dxa" w:w="2880"/>
          </w:tcPr>
          <w:p>
            <w:r>
              <w:t>/healthcare (if added)</w:t>
            </w:r>
          </w:p>
        </w:tc>
        <w:tc>
          <w:tcPr>
            <w:tcW w:type="dxa" w:w="2880"/>
          </w:tcPr>
          <w:p>
            <w:r>
              <w:t>Healthcare Cybersecurity | RCFI Technology</w:t>
            </w:r>
          </w:p>
        </w:tc>
        <w:tc>
          <w:tcPr>
            <w:tcW w:type="dxa" w:w="2880"/>
          </w:tcPr>
          <w:p>
            <w:r>
              <w:t>Security and privacy assurance for digital health systems, EMRs, and health apps in Kenya and East Africa.</w:t>
            </w:r>
          </w:p>
        </w:tc>
      </w:tr>
    </w:tbl>
    <w:p/>
    <w:p>
      <w:pPr>
        <w:pStyle w:val="Heading1"/>
      </w:pPr>
      <w:r>
        <w:t>7. Do NOT publish on rcfi.co.ke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Keep off public website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Where it belongs</w:t>
            </w:r>
          </w:p>
        </w:tc>
      </w:tr>
      <w:tr>
        <w:tc>
          <w:tcPr>
            <w:tcW w:type="dxa" w:w="4320"/>
          </w:tcPr>
          <w:p>
            <w:r>
              <w:t>VAPT questionnaire sections 1–22</w:t>
            </w:r>
          </w:p>
        </w:tc>
        <w:tc>
          <w:tcPr>
            <w:tcW w:type="dxa" w:w="4320"/>
          </w:tcPr>
          <w:p>
            <w:r>
              <w:t>Internal / client portal</w:t>
            </w:r>
          </w:p>
        </w:tc>
      </w:tr>
      <w:tr>
        <w:tc>
          <w:tcPr>
            <w:tcW w:type="dxa" w:w="4320"/>
          </w:tcPr>
          <w:p>
            <w:r>
              <w:t>Asset registers, ROE, test windows</w:t>
            </w:r>
          </w:p>
        </w:tc>
        <w:tc>
          <w:tcPr>
            <w:tcW w:type="dxa" w:w="4320"/>
          </w:tcPr>
          <w:p>
            <w:r>
              <w:t>Client onboarding portal</w:t>
            </w:r>
          </w:p>
        </w:tc>
      </w:tr>
      <w:tr>
        <w:tc>
          <w:tcPr>
            <w:tcW w:type="dxa" w:w="4320"/>
          </w:tcPr>
          <w:p>
            <w:r>
              <w:t>DHI-driven module matrices</w:t>
            </w:r>
          </w:p>
        </w:tc>
        <w:tc>
          <w:tcPr>
            <w:tcW w:type="dxa" w:w="4320"/>
          </w:tcPr>
          <w:p>
            <w:r>
              <w:t>Internal sales/engineering doc only</w:t>
            </w:r>
          </w:p>
        </w:tc>
      </w:tr>
      <w:tr>
        <w:tc>
          <w:tcPr>
            <w:tcW w:type="dxa" w:w="4320"/>
          </w:tcPr>
          <w:p>
            <w:r>
              <w:t>Sovereign Cyber platform architecture</w:t>
            </w:r>
          </w:p>
        </w:tc>
        <w:tc>
          <w:tcPr>
            <w:tcW w:type="dxa" w:w="4320"/>
          </w:tcPr>
          <w:p>
            <w:r>
              <w:t>Separate product or client area later</w:t>
            </w:r>
          </w:p>
        </w:tc>
      </w:tr>
      <w:tr>
        <w:tc>
          <w:tcPr>
            <w:tcW w:type="dxa" w:w="4320"/>
          </w:tcPr>
          <w:p>
            <w:r>
              <w:t>Government programme names</w:t>
            </w:r>
          </w:p>
        </w:tc>
        <w:tc>
          <w:tcPr>
            <w:tcW w:type="dxa" w:w="4320"/>
          </w:tcPr>
          <w:p>
            <w:r>
              <w:t>Proposals &amp; contracts only</w:t>
            </w:r>
          </w:p>
        </w:tc>
      </w:tr>
      <w:tr>
        <w:tc>
          <w:tcPr>
            <w:tcW w:type="dxa" w:w="4320"/>
          </w:tcPr>
          <w:p>
            <w:r>
              <w:t>Full service catalogue (16+ cyber services)</w:t>
            </w:r>
          </w:p>
        </w:tc>
        <w:tc>
          <w:tcPr>
            <w:tcW w:type="dxa" w:w="4320"/>
          </w:tcPr>
          <w:p>
            <w:r>
              <w:t>Sales deck — website gets ONE healthcare cyber card + optional /healthcare page</w:t>
            </w:r>
          </w:p>
        </w:tc>
      </w:tr>
    </w:tbl>
    <w:p/>
    <w:p>
      <w:pPr>
        <w:pStyle w:val="Heading1"/>
      </w:pPr>
      <w:r>
        <w:t>8. Implementation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Add IntelliSOFT to partners marquee</w:t>
            </w:r>
          </w:p>
        </w:tc>
        <w:tc>
          <w:tcPr>
            <w:tcW w:type="dxa" w:w="2160"/>
          </w:tcPr>
          <w:p>
            <w:r>
              <w:t>src/lib/theme.js + public/images/partners/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Add Healthcare Cybersecurity service card</w:t>
            </w:r>
          </w:p>
        </w:tc>
        <w:tc>
          <w:tcPr>
            <w:tcW w:type="dxa" w:w="2160"/>
          </w:tcPr>
          <w:p>
            <w:r>
              <w:t>src/components/home/Services.jsx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Add Healthcare industry card</w:t>
            </w:r>
          </w:p>
        </w:tc>
        <w:tc>
          <w:tcPr>
            <w:tcW w:type="dxa" w:w="2160"/>
          </w:tcPr>
          <w:p>
            <w:r>
              <w:t>src/components/home/Industries.jsx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About page — partnership paragraph</w:t>
            </w:r>
          </w:p>
        </w:tc>
        <w:tc>
          <w:tcPr>
            <w:tcW w:type="dxa" w:w="2160"/>
          </w:tcPr>
          <w:p>
            <w:r>
              <w:t>src/pages/about/index.jsx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Contact — inquiry type dropdown</w:t>
            </w:r>
          </w:p>
        </w:tc>
        <w:tc>
          <w:tcPr>
            <w:tcW w:type="dxa" w:w="2160"/>
          </w:tcPr>
          <w:p>
            <w:r>
              <w:t>src/pages/contact/index.jsx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Create /healthcare page (optional)</w:t>
            </w:r>
          </w:p>
        </w:tc>
        <w:tc>
          <w:tcPr>
            <w:tcW w:type="dxa" w:w="2160"/>
          </w:tcPr>
          <w:p>
            <w:r>
              <w:t>src/pages/healthcare/index.jsx + Header link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Update sitemap.xml</w:t>
            </w:r>
          </w:p>
        </w:tc>
        <w:tc>
          <w:tcPr>
            <w:tcW w:type="dxa" w:w="2160"/>
          </w:tcPr>
          <w:p>
            <w:r>
              <w:t>public/sitemap.xml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9.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RCFI Website V2 — Healthcare &amp; Cyber Content Brief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August 2026</w:t>
            </w:r>
          </w:p>
        </w:tc>
      </w:tr>
      <w:tr>
        <w:tc>
          <w:tcPr>
            <w:tcW w:type="dxa" w:w="4320"/>
          </w:tcPr>
          <w:p>
            <w:r>
              <w:t>For</w:t>
            </w:r>
          </w:p>
        </w:tc>
        <w:tc>
          <w:tcPr>
            <w:tcW w:type="dxa" w:w="4320"/>
          </w:tcPr>
          <w:p>
            <w:r>
              <w:t>website-v2 codebase only — public marketing copy</w:t>
            </w:r>
          </w:p>
        </w:tc>
      </w:tr>
      <w:tr>
        <w:tc>
          <w:tcPr>
            <w:tcW w:type="dxa" w:w="4320"/>
          </w:tcPr>
          <w:p>
            <w:r>
              <w:t>Partner reference</w:t>
            </w:r>
          </w:p>
        </w:tc>
        <w:tc>
          <w:tcPr>
            <w:tcW w:type="dxa" w:w="4320"/>
          </w:tcPr>
          <w:p>
            <w:r>
              <w:t>https://www.intellisoftkenya.com/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