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b/>
          <w:sz w:val="24"/>
          <w:szCs w:val="24"/>
          <w:u w:val="single"/>
        </w:rPr>
      </w:pPr>
      <w:r w:rsidRPr="00583437">
        <w:rPr>
          <w:rFonts w:ascii="Bookman Old Style" w:hAnsi="Bookman Old Style"/>
          <w:b/>
          <w:sz w:val="24"/>
          <w:szCs w:val="24"/>
          <w:u w:val="single"/>
        </w:rPr>
        <w:t>CONDOMINIO PACIFICO 3100, ETAPA II</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HECTOR ANDRES PINTO CERDA</w:t>
      </w:r>
    </w:p>
    <w:p w:rsidR="000C18B9" w:rsidRPr="000C18B9" w:rsidRDefault="000C18B9" w:rsidP="006A6507">
      <w:pPr>
        <w:rPr>
          <w:sz w:val="22"/>
        </w:rPr>
      </w:pPr>
    </w:p>
    <w:p w:rsidR="00E7483C" w:rsidRDefault="00E7483C">
      <w:pPr>
        <w:rPr>
          <w:b/>
          <w:sz w:val="22"/>
        </w:rPr>
      </w:pPr>
    </w:p>
    <w:p w:rsidR="006A6507" w:rsidRPr="00E97547" w:rsidRDefault="00E97547" w:rsidP="00E97547">
      <w:pPr>
        <w:jc w:val="both"/>
        <w:rPr>
          <w:rFonts w:ascii="Bookman Old Style" w:hAnsi="Bookman Old Style"/>
          <w:b/>
          <w:sz w:val="24"/>
          <w:szCs w:val="24"/>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15 de  de 2021</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Calibri"/>
          <w:sz w:val="24"/>
          <w:szCs w:val="24"/>
          <w:lang w:val="es-MX"/>
        </w:rPr>
        <w:t xml:space="preserve">, persona jurídica de derecho privado, del giro de su denominación, rol único tributario número setenta y seis millones ochocientos sesenta y seis mil setenta y cinco </w:t>
      </w:r>
      <w:proofErr w:type="spellStart"/>
      <w:r w:rsidRPr="00E97547">
        <w:rPr>
          <w:rFonts w:ascii="Bookman Old Style" w:hAnsi="Bookman Old Style" w:cs="Calibri"/>
          <w:sz w:val="24"/>
          <w:szCs w:val="24"/>
          <w:lang w:val="es-MX"/>
        </w:rPr>
        <w:t>guión</w:t>
      </w:r>
      <w:proofErr w:type="spellEnd"/>
      <w:r w:rsidRPr="00E97547">
        <w:rPr>
          <w:rFonts w:ascii="Bookman Old Style" w:hAnsi="Bookman Old Style" w:cs="Calibri"/>
          <w:sz w:val="24"/>
          <w:szCs w:val="24"/>
          <w:lang w:val="es-MX"/>
        </w:rPr>
        <w:t xml:space="preserve"> uno, representada legalmente, según se acreditará, por don </w:t>
      </w:r>
      <w:r w:rsidRPr="00E97547">
        <w:rPr>
          <w:rFonts w:ascii="Bookman Old Style" w:hAnsi="Bookman Old Style" w:cs="Calibri"/>
          <w:b/>
          <w:sz w:val="24"/>
          <w:szCs w:val="24"/>
        </w:rPr>
        <w:t xml:space="preserve">SEBASTIAN RODRIGO ARAYA VARELA - </w:t>
      </w:r>
      <w:r w:rsidRPr="00E97547">
        <w:rPr>
          <w:rFonts w:ascii="Bookman Old Style" w:hAnsi="Bookman Old Style" w:cs="Calibri"/>
          <w:sz w:val="24"/>
          <w:szCs w:val="24"/>
          <w:lang w:val="es-MX"/>
        </w:rPr>
        <w:t xml:space="preserve">, chileno, casado, arquitecto, cédula nacional de identidad número once millones seiscientos diez mil ciento ochenta guion siete </w:t>
      </w:r>
      <w:r w:rsidRPr="00E97547">
        <w:rPr>
          <w:rFonts w:ascii="Bookman Old Style" w:hAnsi="Bookman Old Style" w:cs="Arial"/>
          <w:color w:val="000000"/>
          <w:sz w:val="24"/>
          <w:szCs w:val="24"/>
        </w:rPr>
        <w:t>(</w:t>
      </w:r>
      <w:r w:rsidRPr="00E97547">
        <w:rPr>
          <w:rFonts w:ascii="Bookman Old Style" w:hAnsi="Bookman Old Style" w:cs="Arial"/>
          <w:bCs/>
          <w:snapToGrid w:val="0"/>
          <w:color w:val="000000"/>
          <w:sz w:val="24"/>
          <w:szCs w:val="24"/>
        </w:rPr>
        <w:t xml:space="preserve">o doña </w:t>
      </w:r>
      <w:r w:rsidRPr="00E97547">
        <w:rPr>
          <w:rFonts w:ascii="Bookman Old Style" w:hAnsi="Bookman Old Style" w:cs="Arial"/>
          <w:b/>
          <w:bCs/>
          <w:snapToGrid w:val="0"/>
          <w:color w:val="000000"/>
          <w:sz w:val="24"/>
          <w:szCs w:val="24"/>
        </w:rPr>
        <w:t>CECILIA MARGARITA DEBIA GARCÍA</w:t>
      </w:r>
      <w:r w:rsidRPr="00E97547">
        <w:rPr>
          <w:rFonts w:ascii="Bookman Old Style" w:hAnsi="Bookman Old Style" w:cs="Arial"/>
          <w:bCs/>
          <w:snapToGrid w:val="0"/>
          <w:color w:val="000000"/>
          <w:sz w:val="24"/>
          <w:szCs w:val="24"/>
        </w:rPr>
        <w:t>,</w:t>
      </w:r>
      <w:r w:rsidRPr="00E97547">
        <w:rPr>
          <w:rFonts w:ascii="Bookman Old Style" w:hAnsi="Bookman Old Style" w:cs="Arial"/>
          <w:b/>
          <w:bCs/>
          <w:snapToGrid w:val="0"/>
          <w:color w:val="000000"/>
          <w:sz w:val="24"/>
          <w:szCs w:val="24"/>
        </w:rPr>
        <w:t xml:space="preserve"> </w:t>
      </w:r>
      <w:r w:rsidRPr="00E97547">
        <w:rPr>
          <w:rFonts w:ascii="Bookman Old Style" w:hAnsi="Bookman Old Style" w:cs="Arial"/>
          <w:color w:val="000000"/>
          <w:sz w:val="24"/>
          <w:szCs w:val="24"/>
        </w:rPr>
        <w:t>chilena, soltera, técnico en construcción, cédula de identidad número cinco millones novecientos sesenta y seis mil novecientos cincuenta y nueve guion uno)</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HECTOR ANDRES PINTO CERDA, cédula nacional de identidad número 15.034.030-6, estado civil Soltero/a, de profesión u oficio Ingeniero Civil, con domicilio en LASTENIA 11850 BONASORT 4 DEPTO 506, comuna de No Definida, No Definida, número de celular , correo electrónico , lugar de trabajo </w:t>
      </w:r>
      <w:r w:rsidR="00833897">
        <w:rPr>
          <w:rFonts w:ascii="Bookman Old Style" w:hAnsi="Bookman Old Style" w:cs="Arial"/>
        </w:rPr>
        <w:t>,</w:t>
      </w:r>
      <w:bookmarkStart w:id="0" w:name="_GoBack"/>
      <w:bookmarkEnd w:id="0"/>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w:t>
      </w:r>
      <w:r w:rsidRPr="00E97547">
        <w:rPr>
          <w:rFonts w:ascii="Bookman Old Style" w:hAnsi="Bookman Old Style" w:cs="Calibri"/>
          <w:sz w:val="24"/>
          <w:szCs w:val="24"/>
          <w:lang w:val="es-MX"/>
        </w:rPr>
        <w:lastRenderedPageBreak/>
        <w:t>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Nueve tiene una superficie de </w:t>
      </w:r>
      <w:proofErr w:type="gramStart"/>
      <w:r w:rsidRPr="00E97547">
        <w:rPr>
          <w:rFonts w:ascii="Bookman Old Style" w:hAnsi="Bookman Old Style" w:cs="Calibri"/>
          <w:sz w:val="24"/>
          <w:szCs w:val="24"/>
          <w:lang w:val="es-MX"/>
        </w:rPr>
        <w:t>novecientos veintiocho coma</w:t>
      </w:r>
      <w:proofErr w:type="gramEnd"/>
      <w:r w:rsidRPr="00E97547">
        <w:rPr>
          <w:rFonts w:ascii="Bookman Old Style" w:hAnsi="Bookman Old Style" w:cs="Calibri"/>
          <w:sz w:val="24"/>
          <w:szCs w:val="24"/>
          <w:lang w:val="es-MX"/>
        </w:rPr>
        <w:t xml:space="preserve">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w:t>
      </w:r>
      <w:proofErr w:type="gramStart"/>
      <w:r w:rsidRPr="00E97547">
        <w:rPr>
          <w:rFonts w:ascii="Bookman Old Style" w:hAnsi="Bookman Old Style" w:cs="Calibri"/>
          <w:sz w:val="24"/>
          <w:szCs w:val="24"/>
          <w:lang w:val="es-MX"/>
        </w:rPr>
        <w:t>seis coma</w:t>
      </w:r>
      <w:proofErr w:type="gramEnd"/>
      <w:r w:rsidRPr="00E97547">
        <w:rPr>
          <w:rFonts w:ascii="Bookman Old Style" w:hAnsi="Bookman Old Style" w:cs="Calibri"/>
          <w:sz w:val="24"/>
          <w:szCs w:val="24"/>
          <w:lang w:val="es-MX"/>
        </w:rPr>
        <w:t xml:space="preserve">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C – D en cuarenta y seis coma cero seis metros con otros propietarios y tramo E – G en noventa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G – H en ciento once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Avenida Pacífico, y en tramo D – E en setenta y uno coma cero </w:t>
      </w:r>
      <w:proofErr w:type="spellStart"/>
      <w:r w:rsidRPr="00E97547">
        <w:rPr>
          <w:rFonts w:ascii="Bookman Old Style" w:hAnsi="Bookman Old Style" w:cs="Calibri"/>
          <w:sz w:val="24"/>
          <w:szCs w:val="24"/>
          <w:lang w:val="es-MX"/>
        </w:rPr>
        <w:t>cero</w:t>
      </w:r>
      <w:proofErr w:type="spellEnd"/>
      <w:r w:rsidRPr="00E97547">
        <w:rPr>
          <w:rFonts w:ascii="Bookman Old Style" w:hAnsi="Bookman Old Style" w:cs="Calibri"/>
          <w:sz w:val="24"/>
          <w:szCs w:val="24"/>
          <w:lang w:val="es-MX"/>
        </w:rPr>
        <w:t xml:space="preserve"> metros con otros propietarios. </w:t>
      </w:r>
      <w:r w:rsidRPr="00E97547">
        <w:rPr>
          <w:rFonts w:ascii="Bookman Old Style" w:hAnsi="Bookman Old Style" w:cs="Calibri"/>
          <w:b/>
          <w:sz w:val="24"/>
          <w:szCs w:val="24"/>
        </w:rPr>
        <w:t xml:space="preserve">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w:t>
      </w:r>
      <w:r w:rsidRPr="00E97547">
        <w:rPr>
          <w:rFonts w:ascii="Bookman Old Style" w:hAnsi="Bookman Old Style" w:cs="Calibri"/>
          <w:sz w:val="24"/>
          <w:szCs w:val="24"/>
          <w:lang w:val="es-MX"/>
        </w:rPr>
        <w:lastRenderedPageBreak/>
        <w:t xml:space="preserve">MARÍA MUÑOZ PINTO, según consta en la escritura pública de fecha veintinueve de </w:t>
      </w:r>
      <w:proofErr w:type="gramStart"/>
      <w:r w:rsidRPr="00E97547">
        <w:rPr>
          <w:rFonts w:ascii="Bookman Old Style" w:hAnsi="Bookman Old Style" w:cs="Calibri"/>
          <w:sz w:val="24"/>
          <w:szCs w:val="24"/>
          <w:lang w:val="es-MX"/>
        </w:rPr>
        <w:t>Septiembre</w:t>
      </w:r>
      <w:proofErr w:type="gramEnd"/>
      <w:r w:rsidRPr="00E97547">
        <w:rPr>
          <w:rFonts w:ascii="Bookman Old Style" w:hAnsi="Bookman Old Style" w:cs="Calibri"/>
          <w:sz w:val="24"/>
          <w:szCs w:val="24"/>
          <w:lang w:val="es-MX"/>
        </w:rPr>
        <w:t xml:space="preserv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 </w:t>
      </w:r>
      <w:r w:rsidRPr="00E97547">
        <w:rPr>
          <w:rFonts w:ascii="Bookman Old Style" w:hAnsi="Bookman Old Style" w:cs="Calibri"/>
          <w:b/>
          <w:sz w:val="24"/>
          <w:szCs w:val="24"/>
        </w:rPr>
        <w:t xml:space="preserve">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Calibri"/>
          <w:b/>
          <w:sz w:val="24"/>
          <w:szCs w:val="24"/>
        </w:rPr>
        <w:t>,</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w:t>
      </w:r>
      <w:proofErr w:type="gramStart"/>
      <w:r w:rsidRPr="00E97547">
        <w:rPr>
          <w:rFonts w:ascii="Bookman Old Style" w:hAnsi="Bookman Old Style" w:cs="Calibri"/>
          <w:sz w:val="24"/>
          <w:szCs w:val="24"/>
          <w:lang w:val="es-MX"/>
        </w:rPr>
        <w:t>Septiembre</w:t>
      </w:r>
      <w:proofErr w:type="gramEnd"/>
      <w:r w:rsidRPr="00E97547">
        <w:rPr>
          <w:rFonts w:ascii="Bookman Old Style" w:hAnsi="Bookman Old Style" w:cs="Calibri"/>
          <w:sz w:val="24"/>
          <w:szCs w:val="24"/>
          <w:lang w:val="es-MX"/>
        </w:rPr>
        <w:t xml:space="preserv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w:t>
      </w:r>
      <w:proofErr w:type="spellStart"/>
      <w:r w:rsidRPr="00E97547">
        <w:rPr>
          <w:rFonts w:ascii="Bookman Old Style" w:hAnsi="Bookman Old Style" w:cs="Calibri"/>
          <w:b/>
          <w:sz w:val="24"/>
          <w:szCs w:val="24"/>
        </w:rPr>
        <w:t>SpA</w:t>
      </w:r>
      <w:proofErr w:type="spellEnd"/>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la SOCIEDAD DEL PERSONAL EN RETIRO DE LAS FUERZAS ARMADAS SARGENTO PRIMERO JUAN DE DIOS MENDEZ, según consta en la escritura pública de fecha veintinueve de </w:t>
      </w:r>
      <w:proofErr w:type="gramStart"/>
      <w:r w:rsidRPr="00E97547">
        <w:rPr>
          <w:rFonts w:ascii="Bookman Old Style" w:hAnsi="Bookman Old Style" w:cs="Calibri"/>
          <w:sz w:val="24"/>
          <w:szCs w:val="24"/>
          <w:lang w:val="es-MX"/>
        </w:rPr>
        <w:t>Septiembre</w:t>
      </w:r>
      <w:proofErr w:type="gramEnd"/>
      <w:r w:rsidRPr="00E97547">
        <w:rPr>
          <w:rFonts w:ascii="Bookman Old Style" w:hAnsi="Bookman Old Style" w:cs="Calibri"/>
          <w:sz w:val="24"/>
          <w:szCs w:val="24"/>
          <w:lang w:val="es-MX"/>
        </w:rPr>
        <w:t xml:space="preserve"> del año dos mil veinte, suscrita en la Notaría de La Serena de doña Elena </w:t>
      </w:r>
      <w:proofErr w:type="spellStart"/>
      <w:r w:rsidRPr="00E97547">
        <w:rPr>
          <w:rFonts w:ascii="Bookman Old Style" w:hAnsi="Bookman Old Style" w:cs="Calibri"/>
          <w:sz w:val="24"/>
          <w:szCs w:val="24"/>
          <w:lang w:val="es-MX"/>
        </w:rPr>
        <w:t>Leyton</w:t>
      </w:r>
      <w:proofErr w:type="spellEnd"/>
      <w:r w:rsidRPr="00E97547">
        <w:rPr>
          <w:rFonts w:ascii="Bookman Old Style" w:hAnsi="Bookman Old Style" w:cs="Calibri"/>
          <w:sz w:val="24"/>
          <w:szCs w:val="24"/>
          <w:lang w:val="es-MX"/>
        </w:rPr>
        <w:t xml:space="preserve">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p>
    <w:p w:rsidR="006A6507" w:rsidRDefault="006A6507">
      <w:pPr>
        <w:rPr>
          <w:b/>
          <w:sz w:val="22"/>
        </w:rPr>
      </w:pPr>
    </w:p>
    <w:sectPr w:rsidR="006A6507" w:rsidSect="00C801D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736" w:rsidRDefault="00C02736" w:rsidP="00C352DB">
      <w:r>
        <w:separator/>
      </w:r>
    </w:p>
  </w:endnote>
  <w:endnote w:type="continuationSeparator" w:id="0">
    <w:p w:rsidR="00C02736" w:rsidRDefault="00C02736"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736" w:rsidRDefault="00C02736" w:rsidP="00C352DB">
      <w:r>
        <w:separator/>
      </w:r>
    </w:p>
  </w:footnote>
  <w:footnote w:type="continuationSeparator" w:id="0">
    <w:p w:rsidR="00C02736" w:rsidRDefault="00C02736"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E7483C">
    <w:pPr>
      <w:pStyle w:val="Encabezado"/>
    </w:pPr>
    <w:r>
      <w:rPr>
        <w:noProof/>
        <w:lang w:val="es-CL" w:eastAsia="es-CL"/>
      </w:rPr>
      <w:drawing>
        <wp:anchor distT="0" distB="0" distL="114300" distR="114300" simplePos="0" relativeHeight="251657216" behindDoc="0" locked="0" layoutInCell="1" allowOverlap="1">
          <wp:simplePos x="0" y="0"/>
          <wp:positionH relativeFrom="margin">
            <wp:posOffset>4083685</wp:posOffset>
          </wp:positionH>
          <wp:positionV relativeFrom="margin">
            <wp:posOffset>-835660</wp:posOffset>
          </wp:positionV>
          <wp:extent cx="1312545" cy="6724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8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2545" cy="672465"/>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C18B9"/>
    <w:rsid w:val="00196D73"/>
    <w:rsid w:val="00216FFC"/>
    <w:rsid w:val="002951BF"/>
    <w:rsid w:val="002D6011"/>
    <w:rsid w:val="003454F5"/>
    <w:rsid w:val="003A1A24"/>
    <w:rsid w:val="00424384"/>
    <w:rsid w:val="004C0135"/>
    <w:rsid w:val="0054631D"/>
    <w:rsid w:val="00583437"/>
    <w:rsid w:val="00615F92"/>
    <w:rsid w:val="006A2BD7"/>
    <w:rsid w:val="006A6507"/>
    <w:rsid w:val="00814037"/>
    <w:rsid w:val="00833897"/>
    <w:rsid w:val="00883A13"/>
    <w:rsid w:val="009346F8"/>
    <w:rsid w:val="00956233"/>
    <w:rsid w:val="00BF6E6D"/>
    <w:rsid w:val="00C02736"/>
    <w:rsid w:val="00C352DB"/>
    <w:rsid w:val="00C801DE"/>
    <w:rsid w:val="00CE3E1F"/>
    <w:rsid w:val="00D93DFB"/>
    <w:rsid w:val="00E33B9C"/>
    <w:rsid w:val="00E7483C"/>
    <w:rsid w:val="00E97547"/>
    <w:rsid w:val="00F3557B"/>
    <w:rsid w:val="00F357E8"/>
    <w:rsid w:val="00F54E8B"/>
    <w:rsid w:val="00F968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D4D6E"/>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1190</Words>
  <Characters>6546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6</cp:revision>
  <dcterms:created xsi:type="dcterms:W3CDTF">2021-09-09T15:06:00Z</dcterms:created>
  <dcterms:modified xsi:type="dcterms:W3CDTF">2021-09-09T15:29:00Z</dcterms:modified>
</cp:coreProperties>
</file>