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r w:rsidR="0051080E">
        <w:rPr>
          <w:rFonts w:ascii="Bookman Old Style" w:hAnsi="Bookman Old Style" w:cs="Arial"/>
        </w:rPr>
        <w:t xml:space="preserve"> DE OFICINA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persona jurídica de derecho privado, del giro de su denominación, rol único tributario número setenta y seis millones ochocientos sesenta y seis mil setenta y cinco guión uno, representada legalmente, según se acreditará, por</w:t>
      </w:r>
      <w:r w:rsidR="00F84683">
        <w:rPr>
          <w:rFonts w:ascii="Bookman Old Style" w:hAnsi="Bookman Old Style" w:cs="Calibri"/>
          <w:sz w:val="24"/>
          <w:szCs w:val="24"/>
          <w:lang w:val="es-MX"/>
        </w:rPr>
        <w:t xml:space="preserve"> </w:t>
      </w:r>
      <w:r w:rsidR="00F84683">
        <w:rPr>
          <w:rFonts w:ascii="Bookman Old Style" w:hAnsi="Bookman Old Style" w:cs="Arial"/>
          <w:sz w:val="24"/>
          <w:szCs w:val="24"/>
          <w:lang w:val="es-MX"/>
        </w:rPr>
        <w:t>${texto_cabecera_personeria}</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w:t>
      </w:r>
      <w:r w:rsidRPr="001F6C55">
        <w:rPr>
          <w:rFonts w:ascii="Bookman Old Style" w:hAnsi="Bookman Old Style" w:cs="Arial"/>
          <w:b/>
          <w:sz w:val="24"/>
          <w:szCs w:val="24"/>
        </w:rPr>
        <w:t>“Promitente Comprador”</w:t>
      </w:r>
      <w:r w:rsidRPr="00E97547">
        <w:rPr>
          <w:rFonts w:ascii="Bookman Old Style" w:hAnsi="Bookman Old Style" w:cs="Arial"/>
          <w:sz w:val="24"/>
          <w:szCs w:val="24"/>
        </w:rPr>
        <w:t xml:space="preserve">,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 xml:space="preserve">declara ser dueña </w:t>
      </w:r>
      <w:bookmarkStart w:id="0" w:name="_GoBack"/>
      <w:bookmarkEnd w:id="0"/>
      <w:r w:rsidRPr="00E97547">
        <w:rPr>
          <w:rFonts w:ascii="Bookman Old Style" w:hAnsi="Bookman Old Style" w:cs="Calibri"/>
          <w:sz w:val="24"/>
          <w:szCs w:val="24"/>
          <w:lang w:val="es-MX"/>
        </w:rPr>
        <w:t>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r w:rsidRPr="00E97547">
        <w:rPr>
          <w:rFonts w:ascii="Bookman Old Style" w:hAnsi="Bookman Old Style" w:cs="Calibri"/>
          <w:sz w:val="24"/>
          <w:szCs w:val="24"/>
          <w:lang w:val="es-MX"/>
        </w:rPr>
        <w:lastRenderedPageBreak/>
        <w:t>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D22688">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0145AF">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w:t>
      </w:r>
      <w:r w:rsidR="00DE62E1" w:rsidRPr="00DE62E1">
        <w:rPr>
          <w:rFonts w:ascii="Bookman Old Style" w:hAnsi="Bookman Old Style" w:cs="Arial"/>
          <w:b/>
          <w:color w:val="000000"/>
          <w:sz w:val="24"/>
          <w:szCs w:val="24"/>
          <w:u w:val="single"/>
          <w:lang w:val="es-ES_tradnl"/>
        </w:rPr>
        <w:t>Del precio de la Compraventa Prometida y modalidad de pago</w:t>
      </w:r>
      <w:r w:rsidR="00DE62E1" w:rsidRPr="00DE62E1">
        <w:rPr>
          <w:rFonts w:ascii="Bookman Old Style" w:hAnsi="Bookman Old Style" w:cs="Arial"/>
          <w:color w:val="000000"/>
          <w:sz w:val="24"/>
          <w:szCs w:val="24"/>
          <w:lang w:val="es-ES_tradnl"/>
        </w:rPr>
        <w:t>.</w:t>
      </w:r>
      <w:r w:rsidR="00DE62E1">
        <w:rPr>
          <w:rFonts w:ascii="Arial" w:hAnsi="Arial" w:cs="Arial"/>
          <w:color w:val="000000"/>
          <w:lang w:val="es-ES_tradnl"/>
        </w:rPr>
        <w:t xml:space="preserve"> </w:t>
      </w:r>
      <w:r w:rsidR="009246B7" w:rsidRPr="009246B7">
        <w:rPr>
          <w:rFonts w:ascii="Bookman Old Style" w:hAnsi="Bookman Old Style" w:cs="Calibri"/>
          <w:sz w:val="24"/>
          <w:szCs w:val="24"/>
        </w:rPr>
        <w:t xml:space="preserve">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DE62E1" w:rsidRPr="00DE62E1">
        <w:rPr>
          <w:rFonts w:ascii="Bookman Old Style" w:hAnsi="Bookman Old Style" w:cs="Arial"/>
          <w:b/>
          <w:sz w:val="24"/>
          <w:szCs w:val="24"/>
          <w:u w:val="single"/>
        </w:rPr>
        <w:t>SEXTO:</w:t>
      </w:r>
      <w:r w:rsidR="00DE62E1" w:rsidRPr="00DE62E1">
        <w:rPr>
          <w:rFonts w:ascii="Bookman Old Style" w:hAnsi="Bookman Old Style" w:cs="Arial"/>
          <w:sz w:val="24"/>
          <w:szCs w:val="24"/>
        </w:rPr>
        <w:t xml:space="preserve"> </w:t>
      </w:r>
      <w:r w:rsidR="00DE62E1" w:rsidRPr="00FB3717">
        <w:rPr>
          <w:rFonts w:ascii="Bookman Old Style" w:hAnsi="Bookman Old Style" w:cs="Arial"/>
          <w:b/>
          <w:sz w:val="24"/>
          <w:szCs w:val="24"/>
          <w:u w:val="single"/>
        </w:rPr>
        <w:t>Entendimiento reciproco</w:t>
      </w:r>
      <w:r w:rsidR="00DE62E1" w:rsidRPr="00DE62E1">
        <w:rPr>
          <w:rFonts w:ascii="Bookman Old Style" w:hAnsi="Bookman Old Style" w:cs="Arial"/>
          <w:b/>
          <w:i/>
          <w:sz w:val="24"/>
          <w:szCs w:val="24"/>
        </w:rPr>
        <w:t>.</w:t>
      </w:r>
      <w:r w:rsidR="00DE62E1" w:rsidRPr="00DE62E1">
        <w:rPr>
          <w:rFonts w:ascii="Bookman Old Style" w:hAnsi="Bookman Old Style" w:cs="Arial"/>
          <w:sz w:val="24"/>
          <w:szCs w:val="24"/>
        </w:rPr>
        <w:t xml:space="preserve"> Las partes convienen y dan por parte integrante del contrato de promesa de compraventa suscrita entre ellos, que si el inmueble que se prometió vender, se trata de una de las veinticuatro oficinas construidas en el Proyecto. Al tener un fin comercial, éste pierde su condición de DFL 2 </w:t>
      </w:r>
      <w:r w:rsidR="00DE62E1" w:rsidRPr="00DE62E1">
        <w:rPr>
          <w:rFonts w:ascii="Bookman Old Style" w:hAnsi="Bookman Old Style" w:cs="Arial"/>
          <w:sz w:val="24"/>
          <w:szCs w:val="24"/>
        </w:rPr>
        <w:lastRenderedPageBreak/>
        <w:t>para todos los efectos legales. Esta declaración y conocimiento establecen los contratantes que tiene el carácter de esencial y es conocido por ambos.</w:t>
      </w:r>
      <w:r w:rsidR="00DE62E1">
        <w:rPr>
          <w:rFonts w:ascii="Bookman Old Style" w:hAnsi="Bookman Old Style" w:cs="Arial"/>
          <w:sz w:val="24"/>
          <w:szCs w:val="24"/>
        </w:rPr>
        <w:t xml:space="preserve"> </w:t>
      </w:r>
      <w:r w:rsidR="00DE62E1" w:rsidRPr="008122D1">
        <w:rPr>
          <w:rFonts w:ascii="Bookman Old Style" w:hAnsi="Bookman Old Style" w:cs="Arial"/>
          <w:b/>
          <w:sz w:val="24"/>
          <w:szCs w:val="24"/>
          <w:u w:val="single"/>
        </w:rPr>
        <w:t>SÉPTIMO</w:t>
      </w:r>
      <w:r w:rsidR="008122D1" w:rsidRPr="008122D1">
        <w:rPr>
          <w:rFonts w:ascii="Bookman Old Style" w:hAnsi="Bookman Old Style" w:cs="Arial"/>
          <w:b/>
          <w:sz w:val="24"/>
          <w:szCs w:val="24"/>
          <w:u w:val="single"/>
        </w:rPr>
        <w:t xml:space="preserve">: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DE62E1" w:rsidRPr="00736C84">
        <w:rPr>
          <w:rFonts w:ascii="Bookman Old Style" w:hAnsi="Bookman Old Style" w:cs="Calibri"/>
          <w:b/>
          <w:sz w:val="24"/>
          <w:szCs w:val="24"/>
          <w:u w:val="single"/>
        </w:rPr>
        <w:t>OCTAVO</w:t>
      </w:r>
      <w:r w:rsidR="008122D1" w:rsidRPr="008122D1">
        <w:rPr>
          <w:rFonts w:ascii="Bookman Old Style" w:hAnsi="Bookman Old Style" w:cs="Arial"/>
          <w:b/>
          <w:sz w:val="24"/>
          <w:szCs w:val="24"/>
          <w:u w:val="single"/>
        </w:rPr>
        <w:t>: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DE62E1" w:rsidRPr="00736C84">
        <w:rPr>
          <w:rFonts w:ascii="Bookman Old Style" w:hAnsi="Bookman Old Style" w:cs="Calibri"/>
          <w:b/>
          <w:sz w:val="24"/>
          <w:szCs w:val="24"/>
          <w:u w:val="single"/>
        </w:rPr>
        <w:t>NOVENO</w:t>
      </w:r>
      <w:r w:rsidR="00736C84" w:rsidRPr="00736C84">
        <w:rPr>
          <w:rFonts w:ascii="Bookman Old Style" w:hAnsi="Bookman Old Style" w:cs="Calibri"/>
          <w:b/>
          <w:sz w:val="24"/>
          <w:szCs w:val="24"/>
          <w:u w:val="single"/>
        </w:rPr>
        <w:t>: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 xml:space="preserve">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w:t>
      </w:r>
      <w:r w:rsidR="00736C84" w:rsidRPr="00736C84">
        <w:rPr>
          <w:rFonts w:ascii="Bookman Old Style" w:hAnsi="Bookman Old Style" w:cs="Calibri"/>
          <w:sz w:val="24"/>
          <w:szCs w:val="24"/>
          <w:lang w:val="es-MX"/>
        </w:rPr>
        <w:lastRenderedPageBreak/>
        <w:t>las sanciones establecidas en la cláusula Séptimo.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UNDÉCIMO</w:t>
      </w:r>
      <w:r w:rsidR="00736C84" w:rsidRPr="00736C84">
        <w:rPr>
          <w:rFonts w:ascii="Bookman Old Style" w:hAnsi="Bookman Old Style" w:cs="Calibri"/>
          <w:b/>
          <w:sz w:val="24"/>
          <w:szCs w:val="24"/>
          <w:u w:val="single"/>
        </w:rPr>
        <w:t>: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DOUDÉCIMO</w:t>
      </w:r>
      <w:r w:rsidR="00736C84" w:rsidRPr="00736C84">
        <w:rPr>
          <w:rFonts w:ascii="Bookman Old Style" w:hAnsi="Bookman Old Style" w:cs="Calibri"/>
          <w:b/>
          <w:sz w:val="24"/>
          <w:szCs w:val="24"/>
          <w:u w:val="single"/>
        </w:rPr>
        <w:t>: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DE62E1" w:rsidRPr="00053160">
        <w:rPr>
          <w:rFonts w:ascii="Bookman Old Style" w:hAnsi="Bookman Old Style" w:cs="Calibri"/>
          <w:b/>
          <w:sz w:val="24"/>
          <w:szCs w:val="24"/>
          <w:u w:val="single"/>
        </w:rPr>
        <w:t>DÉCIMO TERCERO</w:t>
      </w:r>
      <w:r w:rsidR="00736C84" w:rsidRPr="00736C84">
        <w:rPr>
          <w:rFonts w:ascii="Bookman Old Style" w:hAnsi="Bookman Old Style" w:cs="Calibri"/>
          <w:b/>
          <w:sz w:val="24"/>
          <w:szCs w:val="24"/>
          <w:u w:val="single"/>
        </w:rPr>
        <w:t>: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CUARTO</w:t>
      </w:r>
      <w:r w:rsidR="00053160" w:rsidRPr="00053160">
        <w:rPr>
          <w:rFonts w:ascii="Bookman Old Style" w:hAnsi="Bookman Old Style" w:cs="Calibri"/>
          <w:b/>
          <w:sz w:val="24"/>
          <w:szCs w:val="24"/>
          <w:u w:val="single"/>
        </w:rPr>
        <w:t>: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ED5031" w:rsidRPr="00ED5031">
        <w:rPr>
          <w:rFonts w:ascii="Bookman Old Style" w:hAnsi="Bookman Old Style" w:cs="Calibri"/>
          <w:sz w:val="24"/>
          <w:szCs w:val="24"/>
          <w:lang w:val="es-MX"/>
        </w:rPr>
        <w:t>Compradora</w:t>
      </w:r>
      <w:r w:rsidR="00ED5031">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 xml:space="preserve">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w:t>
      </w:r>
      <w:r w:rsidR="00053160" w:rsidRPr="00053160">
        <w:rPr>
          <w:rFonts w:ascii="Bookman Old Style" w:hAnsi="Bookman Old Style" w:cs="Calibri"/>
          <w:sz w:val="24"/>
          <w:szCs w:val="24"/>
          <w:lang w:val="es-MX"/>
        </w:rPr>
        <w:lastRenderedPageBreak/>
        <w:t>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QUINTO</w:t>
      </w:r>
      <w:r w:rsidR="00053160" w:rsidRPr="00053160">
        <w:rPr>
          <w:rFonts w:ascii="Bookman Old Style" w:hAnsi="Bookman Old Style" w:cs="Calibri"/>
          <w:b/>
          <w:sz w:val="24"/>
          <w:szCs w:val="24"/>
          <w:u w:val="single"/>
        </w:rPr>
        <w:t>: De los Gastos.</w:t>
      </w:r>
      <w:r w:rsidR="00053160" w:rsidRPr="00053160">
        <w:rPr>
          <w:rFonts w:ascii="Arial" w:hAnsi="Arial" w:cs="Arial"/>
          <w:color w:val="000000"/>
          <w:sz w:val="24"/>
          <w:szCs w:val="24"/>
        </w:rPr>
        <w:t xml:space="preserve"> </w:t>
      </w:r>
      <w:r w:rsidR="00335BA6" w:rsidRPr="00335BA6">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335BA6">
        <w:rPr>
          <w:rFonts w:ascii="Bookman Old Style" w:hAnsi="Bookman Old Style" w:cs="Calibri"/>
          <w:sz w:val="24"/>
          <w:szCs w:val="24"/>
          <w:lang w:val="es-MX"/>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SEXTO</w:t>
      </w:r>
      <w:r w:rsidR="00053160" w:rsidRPr="00053160">
        <w:rPr>
          <w:rFonts w:ascii="Bookman Old Style" w:hAnsi="Bookman Old Style" w:cs="Calibri"/>
          <w:b/>
          <w:sz w:val="24"/>
          <w:szCs w:val="24"/>
          <w:u w:val="single"/>
        </w:rPr>
        <w:t>: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SÉPTIMO</w:t>
      </w:r>
      <w:r w:rsidR="00053160" w:rsidRPr="00053160">
        <w:rPr>
          <w:rFonts w:ascii="Bookman Old Style" w:hAnsi="Bookman Old Style" w:cs="Calibri"/>
          <w:b/>
          <w:sz w:val="24"/>
          <w:szCs w:val="24"/>
          <w:u w:val="single"/>
        </w:rPr>
        <w:t>: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OCTAVO</w:t>
      </w:r>
      <w:r w:rsidR="00053160" w:rsidRPr="00053160">
        <w:rPr>
          <w:rFonts w:ascii="Bookman Old Style" w:hAnsi="Bookman Old Style" w:cs="Calibri"/>
          <w:b/>
          <w:sz w:val="24"/>
          <w:szCs w:val="24"/>
          <w:u w:val="single"/>
        </w:rPr>
        <w:t>: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NOVENO</w:t>
      </w:r>
      <w:r w:rsidR="00053160" w:rsidRPr="00053160">
        <w:rPr>
          <w:rFonts w:ascii="Bookman Old Style" w:hAnsi="Bookman Old Style" w:cs="Calibri"/>
          <w:b/>
          <w:sz w:val="24"/>
          <w:szCs w:val="24"/>
          <w:u w:val="single"/>
        </w:rPr>
        <w:t>: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w:t>
      </w:r>
      <w:r w:rsidR="00053160" w:rsidRPr="00053160">
        <w:rPr>
          <w:rFonts w:ascii="Bookman Old Style" w:hAnsi="Bookman Old Style" w:cs="Calibri"/>
          <w:sz w:val="24"/>
          <w:szCs w:val="24"/>
          <w:lang w:val="es-MX"/>
        </w:rPr>
        <w:lastRenderedPageBreak/>
        <w:t xml:space="preserve">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DE62E1">
        <w:rPr>
          <w:rFonts w:ascii="Bookman Old Style" w:hAnsi="Bookman Old Style" w:cs="Calibri"/>
          <w:b/>
          <w:sz w:val="24"/>
          <w:szCs w:val="24"/>
          <w:u w:val="single"/>
        </w:rPr>
        <w:t>TRIGÉSIMO</w:t>
      </w:r>
      <w:r w:rsidR="00053160" w:rsidRPr="00053160">
        <w:rPr>
          <w:rFonts w:ascii="Bookman Old Style" w:hAnsi="Bookman Old Style" w:cs="Calibri"/>
          <w:b/>
          <w:sz w:val="24"/>
          <w:szCs w:val="24"/>
          <w:u w:val="single"/>
        </w:rPr>
        <w:t>.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CD3B1E">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D0A" w:rsidRDefault="00DD6D0A" w:rsidP="00C352DB">
      <w:r>
        <w:separator/>
      </w:r>
    </w:p>
  </w:endnote>
  <w:endnote w:type="continuationSeparator" w:id="0">
    <w:p w:rsidR="00DD6D0A" w:rsidRDefault="00DD6D0A"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D0A" w:rsidRDefault="00DD6D0A" w:rsidP="00C352DB">
      <w:r>
        <w:separator/>
      </w:r>
    </w:p>
  </w:footnote>
  <w:footnote w:type="continuationSeparator" w:id="0">
    <w:p w:rsidR="00DD6D0A" w:rsidRDefault="00DD6D0A"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4054AE">
    <w:pPr>
      <w:pStyle w:val="Encabezado"/>
    </w:pPr>
    <w:r>
      <w:rPr>
        <w:noProof/>
        <w:lang w:val="es-CL" w:eastAsia="es-CL"/>
      </w:rPr>
      <w:drawing>
        <wp:anchor distT="0" distB="0" distL="114300" distR="114300" simplePos="0" relativeHeight="251658240" behindDoc="0" locked="0" layoutInCell="1" allowOverlap="1">
          <wp:simplePos x="0" y="0"/>
          <wp:positionH relativeFrom="margin">
            <wp:align>right</wp:align>
          </wp:positionH>
          <wp:positionV relativeFrom="margin">
            <wp:posOffset>-867410</wp:posOffset>
          </wp:positionV>
          <wp:extent cx="1202055" cy="7981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1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2055" cy="79819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145AF"/>
    <w:rsid w:val="00053160"/>
    <w:rsid w:val="000C18B9"/>
    <w:rsid w:val="00196D73"/>
    <w:rsid w:val="001F6C55"/>
    <w:rsid w:val="00216FFC"/>
    <w:rsid w:val="00266791"/>
    <w:rsid w:val="002951BF"/>
    <w:rsid w:val="002D6011"/>
    <w:rsid w:val="002F430F"/>
    <w:rsid w:val="00335BA6"/>
    <w:rsid w:val="003454F5"/>
    <w:rsid w:val="003A1A24"/>
    <w:rsid w:val="003B23A9"/>
    <w:rsid w:val="003C6565"/>
    <w:rsid w:val="004054AE"/>
    <w:rsid w:val="00424384"/>
    <w:rsid w:val="004A6B9F"/>
    <w:rsid w:val="004C0135"/>
    <w:rsid w:val="004C753D"/>
    <w:rsid w:val="004F5E7E"/>
    <w:rsid w:val="0051080E"/>
    <w:rsid w:val="0054631D"/>
    <w:rsid w:val="00553057"/>
    <w:rsid w:val="00583437"/>
    <w:rsid w:val="0061595F"/>
    <w:rsid w:val="00615F92"/>
    <w:rsid w:val="006A2BD7"/>
    <w:rsid w:val="006A6507"/>
    <w:rsid w:val="00736C84"/>
    <w:rsid w:val="007525EF"/>
    <w:rsid w:val="00787700"/>
    <w:rsid w:val="007B709A"/>
    <w:rsid w:val="008122D1"/>
    <w:rsid w:val="00814037"/>
    <w:rsid w:val="008219C1"/>
    <w:rsid w:val="00833897"/>
    <w:rsid w:val="00883A13"/>
    <w:rsid w:val="008D209F"/>
    <w:rsid w:val="009246B7"/>
    <w:rsid w:val="009346F8"/>
    <w:rsid w:val="00956233"/>
    <w:rsid w:val="009B3909"/>
    <w:rsid w:val="009C613A"/>
    <w:rsid w:val="00A20399"/>
    <w:rsid w:val="00A25183"/>
    <w:rsid w:val="00A75628"/>
    <w:rsid w:val="00B23D92"/>
    <w:rsid w:val="00B542D0"/>
    <w:rsid w:val="00BF6E6D"/>
    <w:rsid w:val="00C02736"/>
    <w:rsid w:val="00C352DB"/>
    <w:rsid w:val="00C801DE"/>
    <w:rsid w:val="00CD3B1E"/>
    <w:rsid w:val="00CE3E1F"/>
    <w:rsid w:val="00D22688"/>
    <w:rsid w:val="00D31E82"/>
    <w:rsid w:val="00D476FE"/>
    <w:rsid w:val="00D93DFB"/>
    <w:rsid w:val="00DD6D0A"/>
    <w:rsid w:val="00DE62E1"/>
    <w:rsid w:val="00E33B9C"/>
    <w:rsid w:val="00E7483C"/>
    <w:rsid w:val="00E97547"/>
    <w:rsid w:val="00EC140D"/>
    <w:rsid w:val="00EC1D77"/>
    <w:rsid w:val="00ED5031"/>
    <w:rsid w:val="00F3557B"/>
    <w:rsid w:val="00F357E8"/>
    <w:rsid w:val="00F54E8B"/>
    <w:rsid w:val="00F84683"/>
    <w:rsid w:val="00F9683D"/>
    <w:rsid w:val="00FB3717"/>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ECD51"/>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3602</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35</cp:revision>
  <dcterms:created xsi:type="dcterms:W3CDTF">2021-09-09T15:06:00Z</dcterms:created>
  <dcterms:modified xsi:type="dcterms:W3CDTF">2021-09-30T18:00:00Z</dcterms:modified>
</cp:coreProperties>
</file>