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67"/>
        <w:tblLayout w:type="fixed"/>
        <w:tblLook w:firstRow="1" w:lastRow="0" w:firstColumn="0" w:lastColumn="0" w:noHBand="0" w:noVBand="0" w:val="0020"/>
      </w:tblPr>
      <w:tblGrid>
        <w:gridCol w:w="1447"/>
        <w:gridCol w:w="236"/>
        <w:gridCol w:w="1262"/>
        <w:gridCol w:w="605"/>
        <w:gridCol w:w="210"/>
        <w:gridCol w:w="1262"/>
        <w:gridCol w:w="605"/>
        <w:gridCol w:w="210"/>
        <w:gridCol w:w="1262"/>
        <w:gridCol w:w="60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Abundance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Species Richness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Shannon Diversity</w:t>
            </w:r>
          </w:p>
        </w:tc>
      </w:tr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  <w:tc>
          <w:tcPr/>
          <w:p>
            <w:pPr>
              <w:pStyle w:val="Compact"/>
            </w:pPr>
            <w:r>
              <w:t xml:space="preserve">({round(conf.low, 2)}, {round(conf.high, 2)})</w:t>
            </w:r>
          </w:p>
        </w:tc>
        <w:tc>
          <w:tcPr/>
          <w:p>
            <w:pPr>
              <w:pStyle w:val="Compact"/>
            </w:pPr>
            <w:r>
              <w:t xml:space="preserve">{signif(p.value, 1)}</w:t>
            </w: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  <w:tc>
          <w:tcPr/>
          <w:p>
            <w:pPr>
              <w:pStyle w:val="Compact"/>
            </w:pPr>
            <w:r>
              <w:t xml:space="preserve">({round(conf.low, 2)}, {round(conf.high, 2)})</w:t>
            </w:r>
          </w:p>
        </w:tc>
        <w:tc>
          <w:tcPr/>
          <w:p>
            <w:pPr>
              <w:pStyle w:val="Compact"/>
            </w:pPr>
            <w:r>
              <w:t xml:space="preserve">{signif(p.value, 1)}</w:t>
            </w: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  <w:tc>
          <w:tcPr/>
          <w:p>
            <w:pPr>
              <w:pStyle w:val="Compact"/>
            </w:pPr>
            <w:r>
              <w:t xml:space="preserve">({round(conf.low, 2)}, {round(conf.high, 2)})</w:t>
            </w:r>
          </w:p>
        </w:tc>
        <w:tc>
          <w:tcPr/>
          <w:p>
            <w:pPr>
              <w:pStyle w:val="Compact"/>
            </w:pPr>
            <w:r>
              <w:t xml:space="preserve">{signif(p.value, 1)}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118.19</w:t>
            </w:r>
          </w:p>
        </w:tc>
        <w:tc>
          <w:tcPr/>
          <w:p>
            <w:pPr>
              <w:pStyle w:val="Compact"/>
            </w:pPr>
            <w:r>
              <w:t xml:space="preserve">(59.8, 245.15)</w:t>
            </w:r>
          </w:p>
        </w:tc>
        <w:tc>
          <w:tcPr/>
          <w:p>
            <w:pPr>
              <w:pStyle w:val="Compact"/>
            </w:pPr>
            <w:r>
              <w:t xml:space="preserve">1e-49</w:t>
            </w:r>
          </w:p>
        </w:tc>
        <w:tc>
          <w:tcPr/>
          <w:p>
            <w:pPr>
              <w:pStyle w:val="Compact"/>
            </w:pPr>
            <w:r>
              <w:t xml:space="preserve">6.35</w:t>
            </w:r>
          </w:p>
        </w:tc>
        <w:tc>
          <w:tcPr/>
          <w:p>
            <w:pPr>
              <w:pStyle w:val="Compact"/>
            </w:pPr>
            <w:r>
              <w:t xml:space="preserve">(4.53, 8.18)</w:t>
            </w:r>
          </w:p>
        </w:tc>
        <w:tc>
          <w:tcPr/>
          <w:p>
            <w:pPr>
              <w:pStyle w:val="Compact"/>
            </w:pPr>
            <w:r>
              <w:t xml:space="preserve">7e-08</w:t>
            </w:r>
          </w:p>
        </w:tc>
        <w:tc>
          <w:tcPr/>
          <w:p>
            <w:pPr>
              <w:pStyle w:val="Compact"/>
            </w:pPr>
            <w:r>
              <w:t xml:space="preserve">5.16</w:t>
            </w:r>
          </w:p>
        </w:tc>
        <w:tc>
          <w:tcPr/>
          <w:p>
            <w:pPr>
              <w:pStyle w:val="Compact"/>
            </w:pPr>
            <w:r>
              <w:t xml:space="preserve">(3.73, 6.6)</w:t>
            </w:r>
          </w:p>
        </w:tc>
        <w:tc>
          <w:tcPr/>
          <w:p>
            <w:pPr>
              <w:pStyle w:val="Compact"/>
            </w:pPr>
            <w:r>
              <w:t xml:space="preserve">3e-08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Anthropogenic Land Cover (%)</w:t>
            </w:r>
          </w:p>
        </w:tc>
        <w:tc>
          <w:tcPr/>
          <w:p>
            <w:pPr>
              <w:pStyle w:val="Compact"/>
            </w:pPr>
            <w:r>
              <w:t xml:space="preserve">0.63</w:t>
            </w:r>
          </w:p>
        </w:tc>
        <w:tc>
          <w:tcPr/>
          <w:p>
            <w:pPr>
              <w:pStyle w:val="Compact"/>
            </w:pPr>
            <w:r>
              <w:t xml:space="preserve">(0.27, 1.42)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-3.89</w:t>
            </w:r>
          </w:p>
        </w:tc>
        <w:tc>
          <w:tcPr/>
          <w:p>
            <w:pPr>
              <w:pStyle w:val="Compact"/>
            </w:pPr>
            <w:r>
              <w:t xml:space="preserve">(-6.15, -1.64)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-3.07</w:t>
            </w:r>
          </w:p>
        </w:tc>
        <w:tc>
          <w:tcPr/>
          <w:p>
            <w:pPr>
              <w:pStyle w:val="Compact"/>
            </w:pPr>
            <w:r>
              <w:t xml:space="preserve">(-4.84, -1.3)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Niche.BreadthSpecialist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(0.4, 1.87)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-5.02</w:t>
            </w:r>
          </w:p>
        </w:tc>
        <w:tc>
          <w:tcPr/>
          <w:p>
            <w:pPr>
              <w:pStyle w:val="Compact"/>
            </w:pPr>
            <w:r>
              <w:t xml:space="preserve">(-7.27, -2.77)</w:t>
            </w:r>
          </w:p>
        </w:tc>
        <w:tc>
          <w:tcPr/>
          <w:p>
            <w:pPr>
              <w:pStyle w:val="Compact"/>
            </w:pPr>
            <w:r>
              <w:t xml:space="preserve">8e-05</w:t>
            </w:r>
          </w:p>
        </w:tc>
        <w:tc>
          <w:tcPr/>
          <w:p>
            <w:pPr>
              <w:pStyle w:val="Compact"/>
            </w:pPr>
            <w:r>
              <w:t xml:space="preserve">-4.11</w:t>
            </w:r>
          </w:p>
        </w:tc>
        <w:tc>
          <w:tcPr/>
          <w:p>
            <w:pPr>
              <w:pStyle w:val="Compact"/>
            </w:pPr>
            <w:r>
              <w:t xml:space="preserve">(-5.88, -2.34)</w:t>
            </w:r>
          </w:p>
        </w:tc>
        <w:tc>
          <w:tcPr/>
          <w:p>
            <w:pPr>
              <w:pStyle w:val="Compact"/>
            </w:pPr>
            <w:r>
              <w:t xml:space="preserve">5e-05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Area (units)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(1, 1)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(0, 0)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(0, 0)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Anthropogenic Land Cover (%):Niche.BreadthSpecialist</w:t>
            </w:r>
          </w:p>
        </w:tc>
        <w:tc>
          <w:tcPr/>
          <w:p>
            <w:pPr>
              <w:pStyle w:val="Compact"/>
            </w:pPr>
            <w:r>
              <w:t xml:space="preserve">1.94</w:t>
            </w:r>
          </w:p>
        </w:tc>
        <w:tc>
          <w:tcPr/>
          <w:p>
            <w:pPr>
              <w:pStyle w:val="Compact"/>
            </w:pPr>
            <w:r>
              <w:t xml:space="preserve">(0.52, 7.14)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3.64</w:t>
            </w:r>
          </w:p>
        </w:tc>
        <w:tc>
          <w:tcPr/>
          <w:p>
            <w:pPr>
              <w:pStyle w:val="Compact"/>
            </w:pPr>
            <w:r>
              <w:t xml:space="preserve">(-0.18, 7.47)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3.23</w:t>
            </w:r>
          </w:p>
        </w:tc>
        <w:tc>
          <w:tcPr/>
          <w:p>
            <w:pPr>
              <w:pStyle w:val="Compact"/>
            </w:pPr>
            <w:r>
              <w:t xml:space="preserve">(0.23, 6.23)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2025-09-15T15:13:28Z</dcterms:created>
  <dcterms:modified xsi:type="dcterms:W3CDTF">2025-09-15T15:13:28Z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