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1751"/>
        <w:gridCol w:w="177"/>
        <w:gridCol w:w="1218"/>
        <w:gridCol w:w="583"/>
        <w:gridCol w:w="203"/>
        <w:gridCol w:w="1218"/>
        <w:gridCol w:w="583"/>
        <w:gridCol w:w="177"/>
        <w:gridCol w:w="1218"/>
        <w:gridCol w:w="58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Abundance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Species Richness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Shannon Diversity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(1.25, 4.1)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-0.3</w:t>
            </w:r>
          </w:p>
        </w:tc>
        <w:tc>
          <w:tcPr/>
          <w:p>
            <w:pPr>
              <w:pStyle w:val="Compact"/>
            </w:pPr>
            <w:r>
              <w:t xml:space="preserve">(-1.29, 0.59)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2.88</w:t>
            </w:r>
          </w:p>
        </w:tc>
        <w:tc>
          <w:tcPr/>
          <w:p>
            <w:pPr>
              <w:pStyle w:val="Compact"/>
            </w:pPr>
            <w:r>
              <w:t xml:space="preserve">(1.27, 4.48)</w:t>
            </w:r>
          </w:p>
        </w:tc>
        <w:tc>
          <w:tcPr/>
          <w:p>
            <w:pPr>
              <w:pStyle w:val="Compact"/>
            </w:pPr>
            <w:r>
              <w:t xml:space="preserve">9e-04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Native Flowering Species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(1.02, 1.18)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(0.01, 0.23)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(-0.19, 0.22)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Native Bloom Cover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(0.88, 1.03)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(-0.16, 0.08)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(-0.29, 0.09)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Niche.BreadthWetland associated</w:t>
            </w:r>
          </w:p>
        </w:tc>
        <w:tc>
          <w:tcPr/>
          <w:p>
            <w:pPr>
              <w:pStyle w:val="Compact"/>
            </w:pPr>
            <w:r>
              <w:t xml:space="preserve">7.38</w:t>
            </w:r>
          </w:p>
        </w:tc>
        <w:tc>
          <w:tcPr/>
          <w:p>
            <w:pPr>
              <w:pStyle w:val="Compact"/>
            </w:pPr>
            <w:r>
              <w:t xml:space="preserve">(4.03, 14.03)</w:t>
            </w:r>
          </w:p>
        </w:tc>
        <w:tc>
          <w:tcPr/>
          <w:p>
            <w:pPr>
              <w:pStyle w:val="Compact"/>
            </w:pPr>
            <w:r>
              <w:t xml:space="preserve">3e-10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(0.63, 2.76)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Wetland specialist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(0.57, 2.51)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-0.58</w:t>
            </w:r>
          </w:p>
        </w:tc>
        <w:tc>
          <w:tcPr/>
          <w:p>
            <w:pPr>
              <w:pStyle w:val="Compact"/>
            </w:pPr>
            <w:r>
              <w:t xml:space="preserve">(-2.25, 1)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Number of Native Flowering Species:Niche.BreadthWetland associated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(0.92, 1.07)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(-0.2, 0.06)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Number of Native Flowering Species:Wetland specialist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  <w:tc>
          <w:tcPr/>
          <w:p>
            <w:pPr>
              <w:pStyle w:val="Compact"/>
            </w:pPr>
            <w:r>
              <w:t xml:space="preserve">(0.97, 1.15)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(-0.22, 0.16)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Average Native Bloom Cover:Niche.BreadthWetland associated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(1.03, 1.21)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(-0.09, 0.17)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Average Native Bloom Cover:Wetland specialist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(0.94, 1.14)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(-0.16, 0.22)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2025-09-15T15:13:37Z</dcterms:created>
  <dcterms:modified xsi:type="dcterms:W3CDTF">2025-09-15T15:13:37Z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