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9"/>
        <w:tblLayout w:type="fixed"/>
        <w:tblLook w:firstRow="1" w:lastRow="0" w:firstColumn="0" w:lastColumn="0" w:noHBand="0" w:noVBand="0" w:val="0020"/>
      </w:tblPr>
      <w:tblGrid>
        <w:gridCol w:w="1558"/>
        <w:gridCol w:w="207"/>
        <w:gridCol w:w="1246"/>
        <w:gridCol w:w="597"/>
        <w:gridCol w:w="207"/>
        <w:gridCol w:w="1246"/>
        <w:gridCol w:w="597"/>
        <w:gridCol w:w="207"/>
        <w:gridCol w:w="1246"/>
        <w:gridCol w:w="5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22.92</w:t>
            </w:r>
          </w:p>
        </w:tc>
        <w:tc>
          <w:tcPr/>
          <w:p>
            <w:pPr>
              <w:pStyle w:val="Compact"/>
            </w:pPr>
            <w:r>
              <w:t xml:space="preserve">(10.9, 48.9)</w:t>
            </w:r>
          </w:p>
        </w:tc>
        <w:tc>
          <w:tcPr/>
          <w:p>
            <w:pPr>
              <w:pStyle w:val="Compact"/>
            </w:pPr>
            <w:r>
              <w:t xml:space="preserve">2e-16</w:t>
            </w:r>
          </w:p>
        </w:tc>
        <w:tc>
          <w:tcPr/>
          <w:p>
            <w:pPr>
              <w:pStyle w:val="Compact"/>
            </w:pPr>
            <w:r>
              <w:t xml:space="preserve">2.92</w:t>
            </w:r>
          </w:p>
        </w:tc>
        <w:tc>
          <w:tcPr/>
          <w:p>
            <w:pPr>
              <w:pStyle w:val="Compact"/>
            </w:pPr>
            <w:r>
              <w:t xml:space="preserve">(0.08, 5.77)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(0.12, 4.68)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Flowering Plant Species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(0.99, 1.05)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(0.03, 0.29)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(0.02, 0.22)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Total Bloom Cover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(1.03, 1.1)</w:t>
            </w:r>
          </w:p>
        </w:tc>
        <w:tc>
          <w:tcPr/>
          <w:p>
            <w:pPr>
              <w:pStyle w:val="Compact"/>
            </w:pPr>
            <w:r>
              <w:t xml:space="preserve">2e-04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  <w:tc>
          <w:tcPr/>
          <w:p>
            <w:pPr>
              <w:pStyle w:val="Compact"/>
            </w:pPr>
            <w:r>
              <w:t xml:space="preserve">(-0.32, -0.06)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-0.14</w:t>
            </w:r>
          </w:p>
        </w:tc>
        <w:tc>
          <w:tcPr/>
          <w:p>
            <w:pPr>
              <w:pStyle w:val="Compact"/>
            </w:pPr>
            <w:r>
              <w:t xml:space="preserve">(-0.24, -0.03)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Area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Niche.BreadthSpecialist</w:t>
            </w:r>
          </w:p>
        </w:tc>
        <w:tc>
          <w:tcPr/>
          <w:p>
            <w:pPr>
              <w:pStyle w:val="Compact"/>
            </w:pPr>
            <w:r>
              <w:t xml:space="preserve">2.08</w:t>
            </w:r>
          </w:p>
        </w:tc>
        <w:tc>
          <w:tcPr/>
          <w:p>
            <w:pPr>
              <w:pStyle w:val="Compact"/>
            </w:pPr>
            <w:r>
              <w:t xml:space="preserve">(0.46, 9.1)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(-7.38, 5.32)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(-5.35, 4.83)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Flowering Plant Species:Niche.BreadthSpecialist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(0.93, 1.04)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  <w:tc>
          <w:tcPr/>
          <w:p>
            <w:pPr>
              <w:pStyle w:val="Compact"/>
            </w:pPr>
            <w:r>
              <w:t xml:space="preserve">(-0.44, 0.06)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(-0.35, 0.05)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Total Bloom Cover:Niche.BreadthSpecialist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(0.93, 1.04)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(-0.01, 0.4)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(-0.04, 0.29)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2025-09-15T15:13:32Z</dcterms:created>
  <dcterms:modified xsi:type="dcterms:W3CDTF">2025-09-15T15:13:32Z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